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6BF00">
      <w:pPr>
        <w:widowControl/>
        <w:jc w:val="righ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文件编号：AF/SS-06/04.0</w:t>
      </w:r>
    </w:p>
    <w:p w14:paraId="57033866">
      <w:pPr>
        <w:widowControl/>
        <w:jc w:val="right"/>
        <w:rPr>
          <w:rFonts w:hint="eastAsia" w:ascii="黑体" w:hAnsi="黑体" w:eastAsia="黑体" w:cs="黑体"/>
          <w:szCs w:val="21"/>
        </w:rPr>
      </w:pPr>
    </w:p>
    <w:p w14:paraId="522CFCC5">
      <w:pPr>
        <w:widowControl/>
        <w:jc w:val="center"/>
        <w:rPr>
          <w:rFonts w:hint="eastAsia" w:ascii="黑体" w:hAnsi="黑体" w:eastAsia="黑体" w:cs="黑体"/>
          <w:b/>
          <w:sz w:val="28"/>
          <w:szCs w:val="21"/>
        </w:rPr>
      </w:pPr>
      <w:r>
        <w:rPr>
          <w:rFonts w:hint="eastAsia" w:ascii="黑体" w:hAnsi="黑体" w:eastAsia="黑体" w:cs="黑体"/>
          <w:b/>
          <w:sz w:val="28"/>
          <w:szCs w:val="21"/>
        </w:rPr>
        <w:t>偏离方案报告</w:t>
      </w:r>
    </w:p>
    <w:p w14:paraId="0CA617A4">
      <w:pPr>
        <w:widowControl/>
        <w:jc w:val="left"/>
        <w:rPr>
          <w:rFonts w:hint="eastAsia" w:ascii="黑体" w:hAnsi="黑体" w:eastAsia="黑体" w:cs="黑体"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551C70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3A830350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项目名称</w:t>
            </w:r>
          </w:p>
        </w:tc>
        <w:tc>
          <w:tcPr>
            <w:tcW w:w="6429" w:type="dxa"/>
          </w:tcPr>
          <w:p w14:paraId="691E00AD">
            <w:pPr>
              <w:rPr>
                <w:rFonts w:hint="eastAsia" w:ascii="黑体" w:hAnsi="黑体" w:eastAsia="黑体" w:cs="黑体"/>
              </w:rPr>
            </w:pPr>
          </w:p>
        </w:tc>
      </w:tr>
      <w:tr w14:paraId="289A79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61590005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项目来源</w:t>
            </w:r>
          </w:p>
        </w:tc>
        <w:tc>
          <w:tcPr>
            <w:tcW w:w="6429" w:type="dxa"/>
          </w:tcPr>
          <w:p w14:paraId="53F07DEF">
            <w:pPr>
              <w:rPr>
                <w:rFonts w:hint="eastAsia" w:ascii="黑体" w:hAnsi="黑体" w:eastAsia="黑体" w:cs="黑体"/>
              </w:rPr>
            </w:pPr>
          </w:p>
        </w:tc>
      </w:tr>
      <w:tr w14:paraId="3CD70E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52F0F625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研究者</w:t>
            </w:r>
          </w:p>
        </w:tc>
        <w:tc>
          <w:tcPr>
            <w:tcW w:w="6429" w:type="dxa"/>
          </w:tcPr>
          <w:p w14:paraId="1EBAFEC3">
            <w:pPr>
              <w:rPr>
                <w:rFonts w:hint="eastAsia" w:ascii="黑体" w:hAnsi="黑体" w:eastAsia="黑体" w:cs="黑体"/>
              </w:rPr>
            </w:pPr>
          </w:p>
        </w:tc>
      </w:tr>
      <w:tr w14:paraId="552085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378A998D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专业科室</w:t>
            </w:r>
          </w:p>
        </w:tc>
        <w:tc>
          <w:tcPr>
            <w:tcW w:w="6429" w:type="dxa"/>
          </w:tcPr>
          <w:p w14:paraId="76C2E6BD">
            <w:pPr>
              <w:rPr>
                <w:rFonts w:hint="eastAsia" w:ascii="黑体" w:hAnsi="黑体" w:eastAsia="黑体" w:cs="黑体"/>
              </w:rPr>
            </w:pPr>
          </w:p>
        </w:tc>
      </w:tr>
    </w:tbl>
    <w:p w14:paraId="0F9B7435">
      <w:pPr>
        <w:widowControl/>
        <w:jc w:val="left"/>
        <w:rPr>
          <w:rFonts w:hint="eastAsia" w:ascii="黑体" w:hAnsi="黑体" w:eastAsia="黑体" w:cs="黑体"/>
          <w:sz w:val="18"/>
          <w:szCs w:val="18"/>
        </w:rPr>
      </w:pPr>
    </w:p>
    <w:p w14:paraId="5F8848F4">
      <w:pPr>
        <w:widowControl/>
        <w:jc w:val="left"/>
        <w:rPr>
          <w:rFonts w:hint="eastAsia" w:ascii="黑体" w:hAnsi="黑体" w:eastAsia="黑体" w:cs="黑体"/>
          <w:sz w:val="18"/>
          <w:szCs w:val="18"/>
        </w:rPr>
      </w:pPr>
      <w:r>
        <w:rPr>
          <w:rFonts w:hint="eastAsia" w:ascii="黑体" w:hAnsi="黑体" w:eastAsia="黑体" w:cs="黑体"/>
          <w:b/>
          <w:szCs w:val="21"/>
        </w:rPr>
        <w:t>一、偏离方案的类别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847"/>
      </w:tblGrid>
      <w:tr w14:paraId="05E7EC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0492837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</w:t>
            </w:r>
          </w:p>
        </w:tc>
        <w:tc>
          <w:tcPr>
            <w:tcW w:w="7847" w:type="dxa"/>
          </w:tcPr>
          <w:p w14:paraId="69E0642F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为消除对研究参与者的紧急危害，在伦理委员会同意前，研究者偏离方案</w:t>
            </w:r>
          </w:p>
        </w:tc>
      </w:tr>
    </w:tbl>
    <w:p w14:paraId="2D036EE5">
      <w:pPr>
        <w:widowControl/>
        <w:jc w:val="center"/>
        <w:rPr>
          <w:rFonts w:hint="eastAsia" w:ascii="黑体" w:hAnsi="黑体" w:eastAsia="黑体" w:cs="黑体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847"/>
      </w:tblGrid>
      <w:tr w14:paraId="721361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75" w:type="dxa"/>
          </w:tcPr>
          <w:p w14:paraId="191469D5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</w:t>
            </w:r>
          </w:p>
        </w:tc>
        <w:tc>
          <w:tcPr>
            <w:tcW w:w="7847" w:type="dxa"/>
          </w:tcPr>
          <w:p w14:paraId="22F699F6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研究纳入了不符合纳入标准或符合排除标准的研究参与者</w:t>
            </w:r>
          </w:p>
        </w:tc>
      </w:tr>
      <w:tr w14:paraId="4AB9FE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711AAF6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</w:t>
            </w:r>
          </w:p>
        </w:tc>
        <w:tc>
          <w:tcPr>
            <w:tcW w:w="7847" w:type="dxa"/>
          </w:tcPr>
          <w:p w14:paraId="2B1F6D77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符合终止试验规定而未让研究参与者退出研究</w:t>
            </w:r>
          </w:p>
        </w:tc>
      </w:tr>
      <w:tr w14:paraId="77F952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4CC1D38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</w:t>
            </w:r>
          </w:p>
        </w:tc>
        <w:tc>
          <w:tcPr>
            <w:tcW w:w="7847" w:type="dxa"/>
          </w:tcPr>
          <w:p w14:paraId="0A243EFB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给予错误的治疗或剂量</w:t>
            </w:r>
          </w:p>
        </w:tc>
      </w:tr>
      <w:tr w14:paraId="777AC3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C9C5944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</w:t>
            </w:r>
          </w:p>
        </w:tc>
        <w:tc>
          <w:tcPr>
            <w:tcW w:w="7847" w:type="dxa"/>
          </w:tcPr>
          <w:p w14:paraId="64A519A7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给予方案禁止的合并用药</w:t>
            </w:r>
          </w:p>
        </w:tc>
      </w:tr>
      <w:tr w14:paraId="2FDDA2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3157E30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</w:t>
            </w:r>
          </w:p>
        </w:tc>
        <w:tc>
          <w:tcPr>
            <w:tcW w:w="7847" w:type="dxa"/>
          </w:tcPr>
          <w:p w14:paraId="0AE3E961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可能对研究参与者的权益和安全造成显著影响的情况</w:t>
            </w:r>
          </w:p>
        </w:tc>
      </w:tr>
      <w:tr w14:paraId="437D71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85886A9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</w:t>
            </w:r>
          </w:p>
        </w:tc>
        <w:tc>
          <w:tcPr>
            <w:tcW w:w="7847" w:type="dxa"/>
          </w:tcPr>
          <w:p w14:paraId="0ECA432F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可能对研究的科学性造成显著影响的情况</w:t>
            </w:r>
          </w:p>
        </w:tc>
      </w:tr>
      <w:tr w14:paraId="0E11A1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0F9264A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</w:t>
            </w:r>
          </w:p>
        </w:tc>
        <w:tc>
          <w:tcPr>
            <w:tcW w:w="7847" w:type="dxa"/>
          </w:tcPr>
          <w:p w14:paraId="4E3F3A99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同一研究人员的同一偏离方案行为在被要求纠正后，再次发生</w:t>
            </w:r>
          </w:p>
        </w:tc>
      </w:tr>
      <w:tr w14:paraId="76F22F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2057D89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</w:t>
            </w:r>
          </w:p>
        </w:tc>
        <w:tc>
          <w:tcPr>
            <w:tcW w:w="7847" w:type="dxa"/>
          </w:tcPr>
          <w:p w14:paraId="5498C3A8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研究人员不配合监查/稽查</w:t>
            </w:r>
          </w:p>
        </w:tc>
      </w:tr>
      <w:tr w14:paraId="33B741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C4E47B0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</w:t>
            </w:r>
          </w:p>
        </w:tc>
        <w:tc>
          <w:tcPr>
            <w:tcW w:w="7847" w:type="dxa"/>
          </w:tcPr>
          <w:p w14:paraId="48DE2BAA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研究人员对偏离方案事件不予以纠正</w:t>
            </w:r>
          </w:p>
        </w:tc>
      </w:tr>
      <w:tr w14:paraId="7022F6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3F74241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</w:t>
            </w:r>
          </w:p>
        </w:tc>
        <w:tc>
          <w:tcPr>
            <w:tcW w:w="7847" w:type="dxa"/>
          </w:tcPr>
          <w:p w14:paraId="5F919D97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其他：</w:t>
            </w:r>
          </w:p>
        </w:tc>
      </w:tr>
    </w:tbl>
    <w:p w14:paraId="7BD9D794">
      <w:pPr>
        <w:widowControl/>
        <w:jc w:val="left"/>
        <w:rPr>
          <w:rFonts w:hint="eastAsia" w:ascii="黑体" w:hAnsi="黑体" w:eastAsia="黑体" w:cs="黑体"/>
          <w:sz w:val="18"/>
          <w:szCs w:val="18"/>
        </w:rPr>
      </w:pPr>
    </w:p>
    <w:p w14:paraId="34BE6458">
      <w:pPr>
        <w:widowControl/>
        <w:jc w:val="lef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>二、偏离方案事件的描述（附</w:t>
      </w:r>
      <w:bookmarkStart w:id="0" w:name="_GoBack"/>
      <w:bookmarkEnd w:id="0"/>
      <w:r>
        <w:rPr>
          <w:rFonts w:hint="eastAsia" w:ascii="黑体" w:hAnsi="黑体" w:eastAsia="黑体" w:cs="黑体"/>
          <w:b/>
          <w:szCs w:val="21"/>
        </w:rPr>
        <w:t>件）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2D012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9FF69F9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  <w:p w14:paraId="18D09C8E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03456EB8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635000DF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480CF458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48D4CCB5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7D23CEC9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25EBF087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1D34D5CA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</w:tr>
    </w:tbl>
    <w:p w14:paraId="00339695">
      <w:pPr>
        <w:widowControl/>
        <w:jc w:val="left"/>
        <w:rPr>
          <w:rFonts w:hint="eastAsia" w:ascii="黑体" w:hAnsi="黑体" w:eastAsia="黑体" w:cs="黑体"/>
          <w:sz w:val="18"/>
          <w:szCs w:val="18"/>
        </w:rPr>
      </w:pPr>
    </w:p>
    <w:p w14:paraId="45077837">
      <w:pPr>
        <w:widowControl/>
        <w:jc w:val="lef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>三、对偏离方案采取的纠正措施（附件）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DA88D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475A934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  <w:p w14:paraId="7E002D0D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2413E107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23D8D006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1CB00413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519DE981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4351291D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0E74596E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</w:tr>
    </w:tbl>
    <w:p w14:paraId="1CACEBA4">
      <w:pPr>
        <w:widowControl/>
        <w:jc w:val="left"/>
        <w:rPr>
          <w:rFonts w:hint="eastAsia" w:ascii="黑体" w:hAnsi="黑体" w:eastAsia="黑体" w:cs="黑体"/>
          <w:b/>
          <w:color w:val="auto"/>
          <w:szCs w:val="21"/>
          <w:lang w:eastAsia="zh-CN"/>
        </w:rPr>
      </w:pPr>
      <w:r>
        <w:rPr>
          <w:rFonts w:hint="eastAsia" w:ascii="黑体" w:hAnsi="黑体" w:eastAsia="黑体" w:cs="黑体"/>
          <w:b/>
          <w:color w:val="auto"/>
          <w:szCs w:val="21"/>
          <w:lang w:eastAsia="zh-CN"/>
        </w:rPr>
        <w:t>四、其他附件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DC93F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48664F6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</w:tbl>
    <w:p w14:paraId="45261713">
      <w:pPr>
        <w:widowControl/>
        <w:jc w:val="left"/>
        <w:rPr>
          <w:rFonts w:hint="eastAsia" w:ascii="黑体" w:hAnsi="黑体" w:eastAsia="黑体" w:cs="黑体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598F0B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093" w:type="dxa"/>
          </w:tcPr>
          <w:p w14:paraId="111E7D5E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研究者签字</w:t>
            </w:r>
          </w:p>
        </w:tc>
        <w:tc>
          <w:tcPr>
            <w:tcW w:w="6429" w:type="dxa"/>
          </w:tcPr>
          <w:p w14:paraId="7C6222AA">
            <w:pPr>
              <w:ind w:firstLine="420" w:firstLineChars="200"/>
              <w:rPr>
                <w:rFonts w:hint="eastAsia" w:ascii="黑体" w:hAnsi="黑体" w:eastAsia="黑体" w:cs="黑体"/>
              </w:rPr>
            </w:pPr>
          </w:p>
        </w:tc>
      </w:tr>
      <w:tr w14:paraId="0EE1C4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33B44851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6429" w:type="dxa"/>
          </w:tcPr>
          <w:p w14:paraId="1428FC83">
            <w:pPr>
              <w:ind w:firstLine="420" w:firstLineChars="20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  月  日</w:t>
            </w:r>
          </w:p>
        </w:tc>
      </w:tr>
    </w:tbl>
    <w:p w14:paraId="30F23FFE">
      <w:pPr>
        <w:rPr>
          <w:rFonts w:hint="eastAsia" w:ascii="黑体" w:hAnsi="黑体" w:eastAsia="黑体" w:cs="黑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BAC68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D8FF8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7D8FF8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F8452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157480</wp:posOffset>
              </wp:positionV>
              <wp:extent cx="5272405" cy="11430"/>
              <wp:effectExtent l="0" t="4445" r="4445" b="1270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72405" cy="1143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.1pt;margin-top:12.4pt;height:0.9pt;width:415.15pt;z-index:251659264;mso-width-relative:page;mso-height-relative:page;" filled="f" stroked="t" coordsize="21600,21600" o:gfxdata="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YZjvfVAAAABgEAAA8AAAAAAAAAAQAgAAAAIgAAAGRycy9kb3ducmV2LnhtbFBLAQIUABQAAAAI&#10;AIdO4kDzljHx8AEAAL8DAAAOAAAAAAAAAAEAIAAAACQBAABkcnMvZTJvRG9jLnhtbFBLBQYAAAAA&#10;BgAGAFkBAACGBQAAAAA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偏离方案报告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YTMxOWYzY2YyNWE4MDFjZGFkYTBkMTRmMTllNDEifQ=="/>
  </w:docVars>
  <w:rsids>
    <w:rsidRoot w:val="009771E5"/>
    <w:rsid w:val="009771E5"/>
    <w:rsid w:val="009B0DED"/>
    <w:rsid w:val="00D038EA"/>
    <w:rsid w:val="00DF5364"/>
    <w:rsid w:val="208B3991"/>
    <w:rsid w:val="359145B6"/>
    <w:rsid w:val="46075D7A"/>
    <w:rsid w:val="61C8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7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293</Words>
  <Characters>305</Characters>
  <Lines>39</Lines>
  <Paragraphs>42</Paragraphs>
  <TotalTime>1</TotalTime>
  <ScaleCrop>false</ScaleCrop>
  <LinksUpToDate>false</LinksUpToDate>
  <CharactersWithSpaces>309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2024-10-09T07:57:00Z</dcterms:created>
  <dc:creator>USER</dc:creator>
  <cp:lastModifiedBy>水红</cp:lastModifiedBy>
  <dcterms:modified xsi:type="dcterms:W3CDTF">2025-12-02T00:12:19Z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8D1B092C38D44BBC85357F6B0BAF8390_12</vt:lpwstr>
  </property>
  <property fmtid="{D5CDD505-2E9C-101B-9397-08002B2CF9AE}" pid="4" name="KSOTemplateDocerSaveRecord">
    <vt:lpwstr>eyJoZGlkIjoiZTVhZGI2ZTNlMzYyNTY5YmQ2OGU0NmRlMzAzYmM4NzEiLCJ1c2VySWQiOiIxMDc1MDQyOTA1In0=</vt:lpwstr>
  </property>
</Properties>
</file>