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84B7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ascii="Microsoft YaHei UI" w:hAnsi="Microsoft YaHei UI" w:eastAsia="Microsoft YaHei UI" w:cs="Microsoft YaHei UI"/>
          <w:i w:val="0"/>
          <w:iCs w:val="0"/>
          <w:caps w:val="0"/>
          <w:spacing w:val="8"/>
          <w:sz w:val="33"/>
          <w:szCs w:val="33"/>
          <w:highlight w:val="none"/>
        </w:rPr>
      </w:pPr>
      <w:bookmarkStart w:id="0" w:name="_GoBack"/>
      <w:r>
        <w:rPr>
          <w:rFonts w:hint="eastAsia" w:ascii="Microsoft YaHei UI" w:hAnsi="Microsoft YaHei UI" w:eastAsia="Microsoft YaHei UI" w:cs="Microsoft YaHei UI"/>
          <w:i w:val="0"/>
          <w:iCs w:val="0"/>
          <w:caps w:val="0"/>
          <w:spacing w:val="8"/>
          <w:sz w:val="33"/>
          <w:szCs w:val="33"/>
          <w:highlight w:val="none"/>
          <w:shd w:val="clear" w:fill="FFFFFF"/>
        </w:rPr>
        <w:t>医疗卫生机构开展研究者发起的临床研究管理办法</w:t>
      </w:r>
    </w:p>
    <w:p w14:paraId="2636FBF0">
      <w:pPr>
        <w:pStyle w:val="4"/>
        <w:keepNext w:val="0"/>
        <w:keepLines w:val="0"/>
        <w:widowControl/>
        <w:suppressLineNumbers w:val="0"/>
        <w:spacing w:after="0" w:afterAutospacing="0"/>
        <w:rPr>
          <w:rFonts w:hint="eastAsia" w:ascii="微软雅黑" w:hAnsi="微软雅黑" w:eastAsia="微软雅黑" w:cs="微软雅黑"/>
          <w:color w:val="484848"/>
          <w:spacing w:val="0"/>
          <w:sz w:val="24"/>
          <w:szCs w:val="24"/>
          <w:highlight w:val="none"/>
        </w:rPr>
      </w:pPr>
      <w:r>
        <w:rPr>
          <w:rFonts w:hint="eastAsia" w:ascii="微软雅黑" w:hAnsi="微软雅黑" w:eastAsia="微软雅黑" w:cs="微软雅黑"/>
          <w:color w:val="484848"/>
          <w:spacing w:val="0"/>
          <w:sz w:val="24"/>
          <w:szCs w:val="24"/>
          <w:highlight w:val="none"/>
        </w:rPr>
        <w:t>关于印发医疗卫生机构开展研究者发起的临床研究管理办法的通知</w:t>
      </w:r>
    </w:p>
    <w:p w14:paraId="77522150">
      <w:pPr>
        <w:pStyle w:val="4"/>
        <w:keepNext w:val="0"/>
        <w:keepLines w:val="0"/>
        <w:widowControl/>
        <w:suppressLineNumbers w:val="0"/>
        <w:spacing w:after="0" w:afterAutospacing="0" w:line="23" w:lineRule="atLeast"/>
        <w:rPr>
          <w:rFonts w:ascii="仿宋" w:hAnsi="仿宋" w:eastAsia="仿宋" w:cs="仿宋"/>
          <w:color w:val="484848"/>
          <w:spacing w:val="0"/>
          <w:sz w:val="32"/>
          <w:szCs w:val="32"/>
          <w:highlight w:val="none"/>
        </w:rPr>
      </w:pPr>
      <w:r>
        <w:rPr>
          <w:rFonts w:hint="eastAsia" w:ascii="仿宋" w:hAnsi="仿宋" w:eastAsia="仿宋" w:cs="仿宋"/>
          <w:color w:val="484848"/>
          <w:spacing w:val="0"/>
          <w:sz w:val="24"/>
          <w:szCs w:val="24"/>
          <w:highlight w:val="none"/>
        </w:rPr>
        <w:t>各省、自治区、直辖市及新疆生产建设兵团卫生健康委、中医药局、疾控局：</w:t>
      </w:r>
    </w:p>
    <w:p w14:paraId="56B32CDA">
      <w:pPr>
        <w:pStyle w:val="4"/>
        <w:keepNext w:val="0"/>
        <w:keepLines w:val="0"/>
        <w:widowControl/>
        <w:suppressLineNumbers w:val="0"/>
        <w:spacing w:after="0" w:afterAutospacing="0" w:line="23" w:lineRule="atLeast"/>
        <w:ind w:left="0" w:firstLine="420"/>
        <w:rPr>
          <w:rFonts w:hint="eastAsia" w:ascii="仿宋" w:hAnsi="仿宋" w:eastAsia="仿宋" w:cs="仿宋"/>
          <w:color w:val="484848"/>
          <w:spacing w:val="0"/>
          <w:sz w:val="32"/>
          <w:szCs w:val="32"/>
          <w:highlight w:val="none"/>
        </w:rPr>
      </w:pPr>
      <w:r>
        <w:rPr>
          <w:rFonts w:hint="eastAsia" w:ascii="仿宋" w:hAnsi="仿宋" w:eastAsia="仿宋" w:cs="仿宋"/>
          <w:color w:val="484848"/>
          <w:spacing w:val="0"/>
          <w:sz w:val="24"/>
          <w:szCs w:val="24"/>
          <w:highlight w:val="none"/>
        </w:rPr>
        <w:t>为规范临床研究管理，提高临床研究质量，我们研究制定了《医疗卫生机构开展研究者发起的临床研究管理办法》。现印发给你们，请结合工作实际，认真组织实施。</w:t>
      </w:r>
    </w:p>
    <w:p w14:paraId="07B13BBD">
      <w:pPr>
        <w:pStyle w:val="4"/>
        <w:keepNext w:val="0"/>
        <w:keepLines w:val="0"/>
        <w:widowControl/>
        <w:suppressLineNumbers w:val="0"/>
        <w:spacing w:after="0" w:afterAutospacing="0" w:line="23" w:lineRule="atLeast"/>
        <w:ind w:left="0" w:firstLine="420"/>
        <w:jc w:val="right"/>
        <w:rPr>
          <w:rFonts w:hint="eastAsia" w:ascii="仿宋" w:hAnsi="仿宋" w:eastAsia="仿宋" w:cs="仿宋"/>
          <w:color w:val="484848"/>
          <w:spacing w:val="0"/>
          <w:sz w:val="32"/>
          <w:szCs w:val="32"/>
          <w:highlight w:val="none"/>
        </w:rPr>
      </w:pPr>
      <w:r>
        <w:rPr>
          <w:rFonts w:hint="eastAsia" w:ascii="仿宋" w:hAnsi="仿宋" w:eastAsia="仿宋" w:cs="仿宋"/>
          <w:color w:val="484848"/>
          <w:spacing w:val="0"/>
          <w:sz w:val="24"/>
          <w:szCs w:val="24"/>
          <w:highlight w:val="none"/>
        </w:rPr>
        <w:t>国家卫生健康委   国家中医药局</w:t>
      </w:r>
      <w:r>
        <w:rPr>
          <w:rFonts w:hint="eastAsia" w:ascii="仿宋" w:hAnsi="仿宋" w:eastAsia="仿宋" w:cs="仿宋"/>
          <w:color w:val="484848"/>
          <w:spacing w:val="0"/>
          <w:sz w:val="24"/>
          <w:szCs w:val="24"/>
          <w:highlight w:val="none"/>
          <w:lang w:val="en-US" w:eastAsia="zh-CN"/>
        </w:rPr>
        <w:t xml:space="preserve">   </w:t>
      </w:r>
      <w:r>
        <w:rPr>
          <w:rFonts w:hint="eastAsia" w:ascii="仿宋" w:hAnsi="仿宋" w:eastAsia="仿宋" w:cs="仿宋"/>
          <w:color w:val="484848"/>
          <w:spacing w:val="0"/>
          <w:sz w:val="24"/>
          <w:szCs w:val="24"/>
          <w:highlight w:val="none"/>
        </w:rPr>
        <w:t>国家疾控局</w:t>
      </w:r>
    </w:p>
    <w:p w14:paraId="5A5A62AB">
      <w:pPr>
        <w:pStyle w:val="4"/>
        <w:keepNext w:val="0"/>
        <w:keepLines w:val="0"/>
        <w:widowControl/>
        <w:suppressLineNumbers w:val="0"/>
        <w:spacing w:after="0" w:afterAutospacing="0" w:line="23" w:lineRule="atLeast"/>
        <w:ind w:left="0" w:firstLine="420"/>
        <w:jc w:val="right"/>
        <w:rPr>
          <w:rFonts w:hint="eastAsia" w:ascii="微软雅黑" w:hAnsi="微软雅黑" w:eastAsia="微软雅黑" w:cs="微软雅黑"/>
          <w:color w:val="484848"/>
          <w:spacing w:val="0"/>
          <w:highlight w:val="none"/>
        </w:rPr>
      </w:pPr>
      <w:r>
        <w:rPr>
          <w:rFonts w:hint="eastAsia" w:ascii="仿宋" w:hAnsi="仿宋" w:eastAsia="仿宋" w:cs="仿宋"/>
          <w:color w:val="484848"/>
          <w:spacing w:val="0"/>
          <w:sz w:val="24"/>
          <w:szCs w:val="24"/>
          <w:highlight w:val="none"/>
        </w:rPr>
        <w:t>                          2024年9月18日</w:t>
      </w:r>
      <w:r>
        <w:rPr>
          <w:rStyle w:val="7"/>
          <w:rFonts w:hint="eastAsia" w:ascii="微软雅黑" w:hAnsi="微软雅黑" w:eastAsia="微软雅黑" w:cs="微软雅黑"/>
          <w:color w:val="484848"/>
          <w:spacing w:val="0"/>
          <w:sz w:val="24"/>
          <w:szCs w:val="24"/>
          <w:highlight w:val="none"/>
        </w:rPr>
        <w:t> </w:t>
      </w:r>
    </w:p>
    <w:p w14:paraId="7BA48978">
      <w:pPr>
        <w:pStyle w:val="4"/>
        <w:keepNext w:val="0"/>
        <w:keepLines w:val="0"/>
        <w:widowControl/>
        <w:suppressLineNumbers w:val="0"/>
        <w:spacing w:after="0" w:afterAutospacing="0" w:line="23" w:lineRule="atLeast"/>
        <w:jc w:val="center"/>
        <w:rPr>
          <w:rFonts w:hint="eastAsia" w:ascii="微软雅黑" w:hAnsi="微软雅黑" w:eastAsia="微软雅黑" w:cs="微软雅黑"/>
          <w:color w:val="484848"/>
          <w:spacing w:val="0"/>
          <w:sz w:val="32"/>
          <w:szCs w:val="32"/>
          <w:highlight w:val="none"/>
        </w:rPr>
      </w:pPr>
      <w:r>
        <w:rPr>
          <w:rFonts w:hint="eastAsia" w:ascii="黑体" w:hAnsi="宋体" w:eastAsia="黑体" w:cs="黑体"/>
          <w:color w:val="484848"/>
          <w:spacing w:val="0"/>
          <w:sz w:val="24"/>
          <w:szCs w:val="24"/>
          <w:highlight w:val="none"/>
        </w:rPr>
        <w:t>第一章   总则</w:t>
      </w:r>
    </w:p>
    <w:p w14:paraId="18191E41">
      <w:pPr>
        <w:pStyle w:val="4"/>
        <w:keepNext w:val="0"/>
        <w:keepLines w:val="0"/>
        <w:widowControl/>
        <w:suppressLineNumbers w:val="0"/>
        <w:spacing w:after="0" w:afterAutospacing="0" w:line="23" w:lineRule="atLeast"/>
        <w:ind w:left="0" w:firstLine="420"/>
        <w:rPr>
          <w:rFonts w:hint="eastAsia" w:ascii="微软雅黑" w:hAnsi="微软雅黑" w:eastAsia="微软雅黑" w:cs="微软雅黑"/>
          <w:color w:val="484848"/>
          <w:spacing w:val="0"/>
          <w:sz w:val="32"/>
          <w:szCs w:val="32"/>
          <w:highlight w:val="none"/>
        </w:rPr>
      </w:pPr>
      <w:r>
        <w:rPr>
          <w:rFonts w:hint="eastAsia" w:ascii="黑体" w:hAnsi="宋体" w:eastAsia="黑体" w:cs="黑体"/>
          <w:color w:val="484848"/>
          <w:spacing w:val="0"/>
          <w:sz w:val="24"/>
          <w:szCs w:val="24"/>
          <w:highlight w:val="none"/>
        </w:rPr>
        <w:t>第一条</w:t>
      </w:r>
      <w:r>
        <w:rPr>
          <w:rFonts w:ascii="仿宋" w:hAnsi="仿宋" w:eastAsia="仿宋" w:cs="仿宋"/>
          <w:color w:val="484848"/>
          <w:spacing w:val="0"/>
          <w:sz w:val="24"/>
          <w:szCs w:val="24"/>
          <w:highlight w:val="none"/>
        </w:rPr>
        <w:t>  为规范临床研究管理，提高临床研究质量，促进临床研究健康发展，提升医疗卫生机构诊断治疗、预防控制疾病的能力，根据《基本医疗卫生与健康促进法》《科学技术进步法》《医师法》《药品管理法》《医疗机构管理条例》《医疗器械监督管理条例》《涉及人的生物医学研究伦理审查办法》《涉及人的生命科学和医学研究伦理审查办法》等法律法规规定，制定本办法。</w:t>
      </w:r>
    </w:p>
    <w:p w14:paraId="4672CB4F">
      <w:pPr>
        <w:pStyle w:val="4"/>
        <w:keepNext w:val="0"/>
        <w:keepLines w:val="0"/>
        <w:widowControl/>
        <w:suppressLineNumbers w:val="0"/>
        <w:spacing w:after="0" w:afterAutospacing="0" w:line="23" w:lineRule="atLeast"/>
        <w:ind w:left="0" w:firstLine="420"/>
        <w:rPr>
          <w:rFonts w:hint="eastAsia" w:ascii="微软雅黑" w:hAnsi="微软雅黑" w:eastAsia="微软雅黑" w:cs="微软雅黑"/>
          <w:color w:val="484848"/>
          <w:spacing w:val="0"/>
          <w:sz w:val="32"/>
          <w:szCs w:val="32"/>
          <w:highlight w:val="none"/>
        </w:rPr>
      </w:pPr>
      <w:r>
        <w:rPr>
          <w:rFonts w:hint="eastAsia" w:ascii="黑体" w:hAnsi="宋体" w:eastAsia="黑体" w:cs="黑体"/>
          <w:color w:val="484848"/>
          <w:spacing w:val="0"/>
          <w:sz w:val="24"/>
          <w:szCs w:val="24"/>
          <w:highlight w:val="none"/>
        </w:rPr>
        <w:t>第二条</w:t>
      </w:r>
      <w:r>
        <w:rPr>
          <w:rFonts w:hint="eastAsia" w:ascii="仿宋" w:hAnsi="仿宋" w:eastAsia="仿宋" w:cs="仿宋"/>
          <w:color w:val="484848"/>
          <w:spacing w:val="0"/>
          <w:sz w:val="24"/>
          <w:szCs w:val="24"/>
          <w:highlight w:val="none"/>
        </w:rPr>
        <w:t>  医疗卫生机构开展的研究者发起的临床研究（以下简称临床研究）是指</w:t>
      </w:r>
      <w:r>
        <w:rPr>
          <w:rFonts w:hint="eastAsia" w:ascii="仿宋" w:hAnsi="仿宋" w:eastAsia="仿宋" w:cs="仿宋"/>
          <w:color w:val="484848"/>
          <w:spacing w:val="0"/>
          <w:sz w:val="24"/>
          <w:szCs w:val="24"/>
          <w:highlight w:val="none"/>
        </w:rPr>
        <w:t>医疗卫生机构开展的，以人（个体或群体）为研究对象（以下称研究参与者），不以药品、医疗器械（含体外诊断试剂）等产品注册为目的</w:t>
      </w:r>
      <w:r>
        <w:rPr>
          <w:rFonts w:hint="eastAsia" w:ascii="仿宋" w:hAnsi="仿宋" w:eastAsia="仿宋" w:cs="仿宋"/>
          <w:color w:val="484848"/>
          <w:spacing w:val="0"/>
          <w:sz w:val="24"/>
          <w:szCs w:val="24"/>
          <w:highlight w:val="none"/>
        </w:rPr>
        <w:t>，</w:t>
      </w:r>
      <w:r>
        <w:rPr>
          <w:rFonts w:hint="eastAsia" w:ascii="仿宋" w:hAnsi="仿宋" w:eastAsia="仿宋" w:cs="仿宋"/>
          <w:color w:val="484848"/>
          <w:spacing w:val="0"/>
          <w:sz w:val="24"/>
          <w:szCs w:val="24"/>
          <w:highlight w:val="none"/>
        </w:rPr>
        <w:t>研究疾病的病因、诊断、治疗、康复、预后、预防、控制及健康维护等的活动</w:t>
      </w:r>
      <w:r>
        <w:rPr>
          <w:rFonts w:hint="eastAsia" w:ascii="仿宋" w:hAnsi="仿宋" w:eastAsia="仿宋" w:cs="仿宋"/>
          <w:color w:val="484848"/>
          <w:spacing w:val="0"/>
          <w:sz w:val="24"/>
          <w:szCs w:val="24"/>
          <w:highlight w:val="none"/>
        </w:rPr>
        <w:t>。</w:t>
      </w:r>
    </w:p>
    <w:p w14:paraId="54C0BEED">
      <w:pPr>
        <w:pStyle w:val="4"/>
        <w:keepNext w:val="0"/>
        <w:keepLines w:val="0"/>
        <w:widowControl/>
        <w:suppressLineNumbers w:val="0"/>
        <w:spacing w:after="0" w:afterAutospacing="0" w:line="23" w:lineRule="atLeast"/>
        <w:ind w:left="0" w:firstLine="420"/>
        <w:rPr>
          <w:rFonts w:hint="eastAsia" w:ascii="微软雅黑" w:hAnsi="微软雅黑" w:eastAsia="微软雅黑" w:cs="微软雅黑"/>
          <w:color w:val="484848"/>
          <w:spacing w:val="0"/>
          <w:sz w:val="32"/>
          <w:szCs w:val="32"/>
          <w:highlight w:val="none"/>
        </w:rPr>
      </w:pPr>
      <w:r>
        <w:rPr>
          <w:rFonts w:hint="eastAsia" w:ascii="黑体" w:hAnsi="宋体" w:eastAsia="黑体" w:cs="黑体"/>
          <w:color w:val="484848"/>
          <w:spacing w:val="0"/>
          <w:sz w:val="24"/>
          <w:szCs w:val="24"/>
          <w:highlight w:val="none"/>
        </w:rPr>
        <w:t>第三条</w:t>
      </w:r>
      <w:r>
        <w:rPr>
          <w:rFonts w:hint="eastAsia" w:ascii="仿宋" w:hAnsi="仿宋" w:eastAsia="仿宋" w:cs="仿宋"/>
          <w:color w:val="484848"/>
          <w:spacing w:val="0"/>
          <w:sz w:val="24"/>
          <w:szCs w:val="24"/>
          <w:highlight w:val="none"/>
        </w:rPr>
        <w:t>  医疗卫生机构开展临床研究是为了探索医学科学规律、积累医学知识，不得以临床研究为名开展超范围的临床诊疗或群体性疾病预防控制活动。</w:t>
      </w:r>
    </w:p>
    <w:p w14:paraId="2408D9B5">
      <w:pPr>
        <w:pStyle w:val="4"/>
        <w:keepNext w:val="0"/>
        <w:keepLines w:val="0"/>
        <w:widowControl/>
        <w:suppressLineNumbers w:val="0"/>
        <w:spacing w:after="0" w:afterAutospacing="0" w:line="23" w:lineRule="atLeast"/>
        <w:ind w:left="0" w:firstLine="420"/>
        <w:rPr>
          <w:rFonts w:hint="eastAsia" w:ascii="仿宋" w:hAnsi="仿宋" w:eastAsia="仿宋" w:cs="仿宋"/>
          <w:color w:val="484848"/>
          <w:spacing w:val="0"/>
          <w:sz w:val="32"/>
          <w:szCs w:val="32"/>
          <w:highlight w:val="none"/>
        </w:rPr>
      </w:pPr>
      <w:r>
        <w:rPr>
          <w:rFonts w:hint="eastAsia" w:ascii="仿宋" w:hAnsi="仿宋" w:eastAsia="仿宋" w:cs="仿宋"/>
          <w:color w:val="484848"/>
          <w:spacing w:val="0"/>
          <w:sz w:val="24"/>
          <w:szCs w:val="24"/>
          <w:highlight w:val="none"/>
        </w:rPr>
        <w:t>临床研究过程中，医疗卫生机构及其研究者</w:t>
      </w:r>
      <w:r>
        <w:rPr>
          <w:rFonts w:hint="eastAsia" w:ascii="仿宋" w:hAnsi="仿宋" w:eastAsia="仿宋" w:cs="仿宋"/>
          <w:color w:val="484848"/>
          <w:spacing w:val="0"/>
          <w:sz w:val="24"/>
          <w:szCs w:val="24"/>
          <w:highlight w:val="none"/>
        </w:rPr>
        <w:t>要充分尊重研究参与者的知情权与自主选择权。</w:t>
      </w:r>
    </w:p>
    <w:p w14:paraId="58A71E2B">
      <w:pPr>
        <w:pStyle w:val="4"/>
        <w:keepNext w:val="0"/>
        <w:keepLines w:val="0"/>
        <w:widowControl/>
        <w:suppressLineNumbers w:val="0"/>
        <w:spacing w:after="0" w:afterAutospacing="0" w:line="23" w:lineRule="atLeast"/>
        <w:ind w:left="0" w:firstLine="420"/>
        <w:rPr>
          <w:rFonts w:hint="eastAsia" w:ascii="微软雅黑" w:hAnsi="微软雅黑" w:eastAsia="微软雅黑" w:cs="微软雅黑"/>
          <w:color w:val="484848"/>
          <w:spacing w:val="0"/>
          <w:sz w:val="32"/>
          <w:szCs w:val="32"/>
          <w:highlight w:val="none"/>
        </w:rPr>
      </w:pPr>
      <w:r>
        <w:rPr>
          <w:rFonts w:hint="eastAsia" w:ascii="黑体" w:hAnsi="宋体" w:eastAsia="黑体" w:cs="黑体"/>
          <w:color w:val="484848"/>
          <w:spacing w:val="0"/>
          <w:sz w:val="24"/>
          <w:szCs w:val="24"/>
          <w:highlight w:val="none"/>
        </w:rPr>
        <w:t>第四条</w:t>
      </w:r>
      <w:r>
        <w:rPr>
          <w:rFonts w:hint="eastAsia" w:ascii="仿宋" w:hAnsi="仿宋" w:eastAsia="仿宋" w:cs="仿宋"/>
          <w:color w:val="484848"/>
          <w:spacing w:val="0"/>
          <w:sz w:val="24"/>
          <w:szCs w:val="24"/>
          <w:highlight w:val="none"/>
        </w:rPr>
        <w:t>  医疗卫生机构及其研究者开展临床研究应当具备相应的</w:t>
      </w:r>
      <w:r>
        <w:rPr>
          <w:rFonts w:hint="eastAsia" w:ascii="仿宋" w:hAnsi="仿宋" w:eastAsia="仿宋" w:cs="仿宋"/>
          <w:color w:val="484848"/>
          <w:spacing w:val="0"/>
          <w:sz w:val="24"/>
          <w:szCs w:val="24"/>
          <w:highlight w:val="none"/>
        </w:rPr>
        <w:t>能力和必要的资金保障</w:t>
      </w:r>
      <w:r>
        <w:rPr>
          <w:rFonts w:hint="eastAsia" w:ascii="仿宋" w:hAnsi="仿宋" w:eastAsia="仿宋" w:cs="仿宋"/>
          <w:color w:val="484848"/>
          <w:spacing w:val="0"/>
          <w:sz w:val="24"/>
          <w:szCs w:val="24"/>
          <w:highlight w:val="none"/>
        </w:rPr>
        <w:t>。</w:t>
      </w:r>
    </w:p>
    <w:p w14:paraId="01E12202">
      <w:pPr>
        <w:pStyle w:val="4"/>
        <w:keepNext w:val="0"/>
        <w:keepLines w:val="0"/>
        <w:widowControl/>
        <w:suppressLineNumbers w:val="0"/>
        <w:spacing w:after="0" w:afterAutospacing="0" w:line="23" w:lineRule="atLeast"/>
        <w:ind w:left="0" w:firstLine="420"/>
        <w:rPr>
          <w:rFonts w:hint="eastAsia" w:ascii="微软雅黑" w:hAnsi="微软雅黑" w:eastAsia="微软雅黑" w:cs="微软雅黑"/>
          <w:color w:val="484848"/>
          <w:spacing w:val="0"/>
          <w:sz w:val="32"/>
          <w:szCs w:val="32"/>
          <w:highlight w:val="none"/>
        </w:rPr>
      </w:pPr>
      <w:r>
        <w:rPr>
          <w:rFonts w:hint="eastAsia" w:ascii="黑体" w:hAnsi="宋体" w:eastAsia="黑体" w:cs="黑体"/>
          <w:color w:val="484848"/>
          <w:spacing w:val="0"/>
          <w:sz w:val="24"/>
          <w:szCs w:val="24"/>
          <w:highlight w:val="none"/>
        </w:rPr>
        <w:t>第五条</w:t>
      </w:r>
      <w:r>
        <w:rPr>
          <w:rFonts w:hint="eastAsia" w:ascii="仿宋" w:hAnsi="仿宋" w:eastAsia="仿宋" w:cs="仿宋"/>
          <w:color w:val="484848"/>
          <w:spacing w:val="0"/>
          <w:sz w:val="24"/>
          <w:szCs w:val="24"/>
          <w:highlight w:val="none"/>
        </w:rPr>
        <w:t>  医疗卫生机构是临床研究实施的责任主体，开展临床研究应当遵守有关法律法规、部门规章及有关规范性文件和技术准则、伦理规范的要求，</w:t>
      </w:r>
      <w:r>
        <w:rPr>
          <w:rFonts w:hint="eastAsia" w:ascii="仿宋" w:hAnsi="仿宋" w:eastAsia="仿宋" w:cs="仿宋"/>
          <w:color w:val="484848"/>
          <w:spacing w:val="0"/>
          <w:sz w:val="24"/>
          <w:szCs w:val="24"/>
          <w:highlight w:val="none"/>
        </w:rPr>
        <w:t>制定切实有效的临床研究管理实施细则</w:t>
      </w:r>
      <w:r>
        <w:rPr>
          <w:rFonts w:hint="eastAsia" w:ascii="仿宋" w:hAnsi="仿宋" w:eastAsia="仿宋" w:cs="仿宋"/>
          <w:color w:val="484848"/>
          <w:spacing w:val="0"/>
          <w:sz w:val="24"/>
          <w:szCs w:val="24"/>
          <w:highlight w:val="none"/>
        </w:rPr>
        <w:t>，建立健全保障科学、规范、有序开展临床研究的组织体系、质量体系、利益冲突防范机制和研究参与者权益保护机制，加强对临床研究的质量保证和全过程管理。积极支持和组织开展临床研究学术交流和培训。</w:t>
      </w:r>
    </w:p>
    <w:p w14:paraId="66C7BFE1">
      <w:pPr>
        <w:pStyle w:val="4"/>
        <w:keepNext w:val="0"/>
        <w:keepLines w:val="0"/>
        <w:widowControl/>
        <w:suppressLineNumbers w:val="0"/>
        <w:spacing w:after="0" w:afterAutospacing="0" w:line="23" w:lineRule="atLeast"/>
        <w:ind w:left="0" w:firstLine="420"/>
        <w:rPr>
          <w:rFonts w:hint="eastAsia" w:ascii="仿宋" w:hAnsi="仿宋" w:eastAsia="仿宋" w:cs="仿宋"/>
          <w:color w:val="484848"/>
          <w:spacing w:val="0"/>
          <w:sz w:val="32"/>
          <w:szCs w:val="32"/>
          <w:highlight w:val="none"/>
        </w:rPr>
      </w:pPr>
      <w:r>
        <w:rPr>
          <w:rFonts w:hint="eastAsia" w:ascii="仿宋" w:hAnsi="仿宋" w:eastAsia="仿宋" w:cs="仿宋"/>
          <w:color w:val="484848"/>
          <w:spacing w:val="0"/>
          <w:sz w:val="24"/>
          <w:szCs w:val="24"/>
          <w:highlight w:val="none"/>
        </w:rPr>
        <w:t>医疗卫生机构应当结合自身实际，合理判断临床研究的风险，结合研究类型、干预措施等对临床研究实行分类管理。</w:t>
      </w:r>
    </w:p>
    <w:p w14:paraId="41D241E4">
      <w:pPr>
        <w:pStyle w:val="4"/>
        <w:keepNext w:val="0"/>
        <w:keepLines w:val="0"/>
        <w:widowControl/>
        <w:suppressLineNumbers w:val="0"/>
        <w:spacing w:after="0" w:afterAutospacing="0" w:line="23" w:lineRule="atLeast"/>
        <w:ind w:left="0" w:firstLine="420"/>
        <w:rPr>
          <w:rFonts w:hint="eastAsia" w:ascii="微软雅黑" w:hAnsi="微软雅黑" w:eastAsia="微软雅黑" w:cs="微软雅黑"/>
          <w:color w:val="484848"/>
          <w:spacing w:val="0"/>
          <w:sz w:val="32"/>
          <w:szCs w:val="32"/>
          <w:highlight w:val="none"/>
        </w:rPr>
      </w:pPr>
      <w:r>
        <w:rPr>
          <w:rFonts w:hint="eastAsia" w:ascii="黑体" w:hAnsi="宋体" w:eastAsia="黑体" w:cs="黑体"/>
          <w:color w:val="484848"/>
          <w:spacing w:val="0"/>
          <w:sz w:val="24"/>
          <w:szCs w:val="24"/>
          <w:highlight w:val="none"/>
        </w:rPr>
        <w:t>第六条 </w:t>
      </w:r>
      <w:r>
        <w:rPr>
          <w:rFonts w:hint="eastAsia" w:ascii="仿宋" w:hAnsi="仿宋" w:eastAsia="仿宋" w:cs="仿宋"/>
          <w:color w:val="484848"/>
          <w:spacing w:val="0"/>
          <w:sz w:val="24"/>
          <w:szCs w:val="24"/>
          <w:highlight w:val="none"/>
        </w:rPr>
        <w:t> 临床研究的</w:t>
      </w:r>
      <w:r>
        <w:rPr>
          <w:rFonts w:hint="eastAsia" w:ascii="仿宋" w:hAnsi="仿宋" w:eastAsia="仿宋" w:cs="仿宋"/>
          <w:color w:val="484848"/>
          <w:spacing w:val="0"/>
          <w:sz w:val="24"/>
          <w:szCs w:val="24"/>
          <w:highlight w:val="none"/>
        </w:rPr>
        <w:t>主要研究者对临床研究的科学性、伦理合规性负责</w:t>
      </w:r>
      <w:r>
        <w:rPr>
          <w:rFonts w:hint="eastAsia" w:ascii="仿宋" w:hAnsi="仿宋" w:eastAsia="仿宋" w:cs="仿宋"/>
          <w:color w:val="484848"/>
          <w:spacing w:val="0"/>
          <w:sz w:val="24"/>
          <w:szCs w:val="24"/>
          <w:highlight w:val="none"/>
        </w:rPr>
        <w:t>，应当加强对其他研究者的培训和管理，对研究参与者履行恰当的关注义务并在必要时给予妥善处置。</w:t>
      </w:r>
    </w:p>
    <w:p w14:paraId="7D5502ED">
      <w:pPr>
        <w:pStyle w:val="4"/>
        <w:keepNext w:val="0"/>
        <w:keepLines w:val="0"/>
        <w:widowControl/>
        <w:suppressLineNumbers w:val="0"/>
        <w:spacing w:after="0" w:afterAutospacing="0" w:line="23" w:lineRule="atLeast"/>
        <w:ind w:left="0" w:firstLine="420"/>
        <w:rPr>
          <w:rFonts w:hint="eastAsia" w:ascii="仿宋" w:hAnsi="仿宋" w:eastAsia="仿宋" w:cs="仿宋"/>
          <w:color w:val="484848"/>
          <w:spacing w:val="0"/>
          <w:sz w:val="32"/>
          <w:szCs w:val="32"/>
          <w:highlight w:val="none"/>
        </w:rPr>
      </w:pPr>
      <w:r>
        <w:rPr>
          <w:rFonts w:hint="eastAsia" w:ascii="仿宋" w:hAnsi="仿宋" w:eastAsia="仿宋" w:cs="仿宋"/>
          <w:color w:val="484848"/>
          <w:spacing w:val="0"/>
          <w:sz w:val="24"/>
          <w:szCs w:val="24"/>
          <w:highlight w:val="none"/>
        </w:rPr>
        <w:t>临床研究的主要研究者和其他研究者应当遵</w:t>
      </w:r>
      <w:r>
        <w:rPr>
          <w:rFonts w:hint="eastAsia" w:ascii="仿宋" w:hAnsi="仿宋" w:eastAsia="仿宋" w:cs="仿宋"/>
          <w:color w:val="484848"/>
          <w:spacing w:val="0"/>
          <w:sz w:val="24"/>
          <w:szCs w:val="24"/>
          <w:highlight w:val="none"/>
        </w:rPr>
        <w:t>守科研诚信</w:t>
      </w:r>
      <w:r>
        <w:rPr>
          <w:rFonts w:hint="eastAsia" w:ascii="仿宋" w:hAnsi="仿宋" w:eastAsia="仿宋" w:cs="仿宋"/>
          <w:color w:val="484848"/>
          <w:spacing w:val="0"/>
          <w:sz w:val="24"/>
          <w:szCs w:val="24"/>
          <w:highlight w:val="none"/>
        </w:rPr>
        <w:t>。根据有关法律法规、部门规章、有关规范性文件、技术准则、伦理规范及医疗卫生机构制定的规章制度要求，加强对临床研究过程的自查，及时如实报告有关事项。</w:t>
      </w:r>
    </w:p>
    <w:p w14:paraId="4D3165A7">
      <w:pPr>
        <w:pStyle w:val="4"/>
        <w:keepNext w:val="0"/>
        <w:keepLines w:val="0"/>
        <w:widowControl/>
        <w:suppressLineNumbers w:val="0"/>
        <w:spacing w:after="0" w:afterAutospacing="0" w:line="23" w:lineRule="atLeast"/>
        <w:ind w:left="0" w:firstLine="420"/>
        <w:rPr>
          <w:rFonts w:hint="eastAsia" w:ascii="微软雅黑" w:hAnsi="微软雅黑" w:eastAsia="微软雅黑" w:cs="微软雅黑"/>
          <w:color w:val="484848"/>
          <w:spacing w:val="0"/>
          <w:sz w:val="32"/>
          <w:szCs w:val="32"/>
          <w:highlight w:val="none"/>
        </w:rPr>
      </w:pPr>
      <w:r>
        <w:rPr>
          <w:rFonts w:hint="eastAsia" w:ascii="黑体" w:hAnsi="宋体" w:eastAsia="黑体" w:cs="黑体"/>
          <w:color w:val="484848"/>
          <w:spacing w:val="0"/>
          <w:sz w:val="24"/>
          <w:szCs w:val="24"/>
          <w:highlight w:val="none"/>
        </w:rPr>
        <w:t>第七条</w:t>
      </w:r>
      <w:r>
        <w:rPr>
          <w:rFonts w:hint="eastAsia" w:ascii="仿宋" w:hAnsi="仿宋" w:eastAsia="仿宋" w:cs="仿宋"/>
          <w:color w:val="484848"/>
          <w:spacing w:val="0"/>
          <w:sz w:val="24"/>
          <w:szCs w:val="24"/>
          <w:highlight w:val="none"/>
        </w:rPr>
        <w:t>  省级及以上卫生健康行政部门应当设立专家委员会或遴选有关专业机构，全面掌握并定期梳理本行政区域内医疗卫生机构开展临床研究情况，通过专业学术指导、伦理审查监督、研究资金支持等方式，加强对临床研究的监督管理和统筹协调，支持和组织开展临床研究学术交流和培训，促进临床研究的质量提升和效能提高。</w:t>
      </w:r>
    </w:p>
    <w:p w14:paraId="28D256C3">
      <w:pPr>
        <w:pStyle w:val="4"/>
        <w:keepNext w:val="0"/>
        <w:keepLines w:val="0"/>
        <w:widowControl/>
        <w:suppressLineNumbers w:val="0"/>
        <w:spacing w:after="0" w:afterAutospacing="0" w:line="23" w:lineRule="atLeast"/>
        <w:ind w:left="0" w:firstLine="420"/>
        <w:rPr>
          <w:rFonts w:hint="eastAsia" w:ascii="微软雅黑" w:hAnsi="微软雅黑" w:eastAsia="微软雅黑" w:cs="微软雅黑"/>
          <w:color w:val="484848"/>
          <w:spacing w:val="0"/>
          <w:sz w:val="32"/>
          <w:szCs w:val="32"/>
          <w:highlight w:val="none"/>
        </w:rPr>
      </w:pPr>
      <w:r>
        <w:rPr>
          <w:rFonts w:hint="eastAsia" w:ascii="黑体" w:hAnsi="宋体" w:eastAsia="黑体" w:cs="黑体"/>
          <w:color w:val="484848"/>
          <w:spacing w:val="0"/>
          <w:sz w:val="24"/>
          <w:szCs w:val="24"/>
          <w:highlight w:val="none"/>
        </w:rPr>
        <w:t>第八条</w:t>
      </w:r>
      <w:r>
        <w:rPr>
          <w:rStyle w:val="7"/>
          <w:rFonts w:hint="eastAsia" w:ascii="仿宋" w:hAnsi="仿宋" w:eastAsia="仿宋" w:cs="仿宋"/>
          <w:color w:val="484848"/>
          <w:spacing w:val="0"/>
          <w:sz w:val="24"/>
          <w:szCs w:val="24"/>
          <w:highlight w:val="none"/>
        </w:rPr>
        <w:t> </w:t>
      </w:r>
      <w:r>
        <w:rPr>
          <w:rFonts w:hint="eastAsia" w:ascii="仿宋" w:hAnsi="仿宋" w:eastAsia="仿宋" w:cs="仿宋"/>
          <w:color w:val="484848"/>
          <w:spacing w:val="0"/>
          <w:sz w:val="24"/>
          <w:szCs w:val="24"/>
          <w:highlight w:val="none"/>
        </w:rPr>
        <w:t> 在</w:t>
      </w:r>
      <w:r>
        <w:rPr>
          <w:rFonts w:hint="eastAsia" w:ascii="仿宋" w:hAnsi="仿宋" w:eastAsia="仿宋" w:cs="仿宋"/>
          <w:color w:val="484848"/>
          <w:spacing w:val="0"/>
          <w:sz w:val="24"/>
          <w:szCs w:val="24"/>
          <w:highlight w:val="none"/>
        </w:rPr>
        <w:t>突发</w:t>
      </w:r>
      <w:r>
        <w:rPr>
          <w:rFonts w:hint="eastAsia" w:ascii="仿宋" w:hAnsi="仿宋" w:eastAsia="仿宋" w:cs="仿宋"/>
          <w:color w:val="484848"/>
          <w:spacing w:val="0"/>
          <w:sz w:val="24"/>
          <w:szCs w:val="24"/>
          <w:highlight w:val="none"/>
        </w:rPr>
        <w:t>公共卫生事件应急响应期间，根据突发公共卫生事件应急响应范围，省级及以上卫生健康行政部门或其确定的专业机构，可以在科学论证的基础上，牵头组织省域范围内或全国范围内的临床研究。</w:t>
      </w:r>
    </w:p>
    <w:p w14:paraId="023CACFC">
      <w:pPr>
        <w:pStyle w:val="4"/>
        <w:keepNext w:val="0"/>
        <w:keepLines w:val="0"/>
        <w:widowControl/>
        <w:suppressLineNumbers w:val="0"/>
        <w:spacing w:after="0" w:afterAutospacing="0" w:line="23" w:lineRule="atLeast"/>
        <w:ind w:left="0" w:firstLine="420"/>
        <w:rPr>
          <w:rFonts w:hint="eastAsia" w:ascii="仿宋" w:hAnsi="仿宋" w:eastAsia="仿宋" w:cs="仿宋"/>
          <w:color w:val="484848"/>
          <w:spacing w:val="0"/>
          <w:sz w:val="32"/>
          <w:szCs w:val="32"/>
          <w:highlight w:val="none"/>
        </w:rPr>
      </w:pPr>
      <w:r>
        <w:rPr>
          <w:rFonts w:hint="eastAsia" w:ascii="仿宋" w:hAnsi="仿宋" w:eastAsia="仿宋" w:cs="仿宋"/>
          <w:color w:val="484848"/>
          <w:spacing w:val="0"/>
          <w:sz w:val="24"/>
          <w:szCs w:val="24"/>
          <w:highlight w:val="none"/>
        </w:rPr>
        <w:t>医疗卫生机构</w:t>
      </w:r>
      <w:r>
        <w:rPr>
          <w:rFonts w:hint="eastAsia" w:ascii="仿宋" w:hAnsi="仿宋" w:eastAsia="仿宋" w:cs="仿宋"/>
          <w:color w:val="484848"/>
          <w:spacing w:val="0"/>
          <w:sz w:val="24"/>
          <w:szCs w:val="24"/>
          <w:highlight w:val="none"/>
        </w:rPr>
        <w:t>自主开展的临床研究与上述研究发生冲突时，医疗卫生机构应当优先保障完成上述研究，同时暂停医疗卫生机构自主开展的临床研究受试者新入组。</w:t>
      </w:r>
    </w:p>
    <w:p w14:paraId="47FE3232">
      <w:pPr>
        <w:pStyle w:val="4"/>
        <w:keepNext w:val="0"/>
        <w:keepLines w:val="0"/>
        <w:widowControl/>
        <w:suppressLineNumbers w:val="0"/>
        <w:spacing w:after="0" w:afterAutospacing="0" w:line="23" w:lineRule="atLeast"/>
        <w:ind w:left="0" w:firstLine="420"/>
        <w:rPr>
          <w:rFonts w:hint="eastAsia" w:ascii="仿宋" w:hAnsi="仿宋" w:eastAsia="仿宋" w:cs="仿宋"/>
          <w:color w:val="484848"/>
          <w:spacing w:val="0"/>
          <w:sz w:val="32"/>
          <w:szCs w:val="32"/>
          <w:highlight w:val="none"/>
        </w:rPr>
      </w:pPr>
      <w:r>
        <w:rPr>
          <w:rFonts w:hint="eastAsia" w:ascii="仿宋" w:hAnsi="仿宋" w:eastAsia="仿宋" w:cs="仿宋"/>
          <w:color w:val="484848"/>
          <w:spacing w:val="0"/>
          <w:sz w:val="24"/>
          <w:szCs w:val="24"/>
          <w:highlight w:val="none"/>
        </w:rPr>
        <w:t> </w:t>
      </w:r>
    </w:p>
    <w:p w14:paraId="76494C5E">
      <w:pPr>
        <w:pStyle w:val="4"/>
        <w:keepNext w:val="0"/>
        <w:keepLines w:val="0"/>
        <w:widowControl/>
        <w:suppressLineNumbers w:val="0"/>
        <w:spacing w:after="0" w:afterAutospacing="0" w:line="23" w:lineRule="atLeast"/>
        <w:jc w:val="center"/>
        <w:rPr>
          <w:rFonts w:hint="eastAsia" w:ascii="微软雅黑" w:hAnsi="微软雅黑" w:eastAsia="微软雅黑" w:cs="微软雅黑"/>
          <w:color w:val="484848"/>
          <w:spacing w:val="0"/>
          <w:sz w:val="32"/>
          <w:szCs w:val="32"/>
          <w:highlight w:val="none"/>
        </w:rPr>
      </w:pPr>
      <w:r>
        <w:rPr>
          <w:rFonts w:hint="eastAsia" w:ascii="黑体" w:hAnsi="宋体" w:eastAsia="黑体" w:cs="黑体"/>
          <w:color w:val="484848"/>
          <w:spacing w:val="0"/>
          <w:sz w:val="24"/>
          <w:szCs w:val="24"/>
          <w:highlight w:val="none"/>
        </w:rPr>
        <w:t>第二章  基本分类及原则性要求</w:t>
      </w:r>
    </w:p>
    <w:p w14:paraId="3B6451A0">
      <w:pPr>
        <w:pStyle w:val="4"/>
        <w:keepNext w:val="0"/>
        <w:keepLines w:val="0"/>
        <w:widowControl/>
        <w:suppressLineNumbers w:val="0"/>
        <w:spacing w:after="0" w:afterAutospacing="0" w:line="23" w:lineRule="atLeast"/>
        <w:ind w:left="0" w:firstLine="420"/>
        <w:rPr>
          <w:rFonts w:hint="eastAsia" w:ascii="微软雅黑" w:hAnsi="微软雅黑" w:eastAsia="微软雅黑" w:cs="微软雅黑"/>
          <w:color w:val="484848"/>
          <w:spacing w:val="0"/>
          <w:sz w:val="32"/>
          <w:szCs w:val="32"/>
          <w:highlight w:val="none"/>
        </w:rPr>
      </w:pPr>
      <w:r>
        <w:rPr>
          <w:rFonts w:hint="eastAsia" w:ascii="黑体" w:hAnsi="宋体" w:eastAsia="黑体" w:cs="黑体"/>
          <w:color w:val="484848"/>
          <w:spacing w:val="0"/>
          <w:sz w:val="24"/>
          <w:szCs w:val="24"/>
          <w:highlight w:val="none"/>
        </w:rPr>
        <w:t>第九条</w:t>
      </w:r>
      <w:r>
        <w:rPr>
          <w:rStyle w:val="7"/>
          <w:rFonts w:hint="eastAsia" w:ascii="仿宋" w:hAnsi="仿宋" w:eastAsia="仿宋" w:cs="仿宋"/>
          <w:color w:val="484848"/>
          <w:spacing w:val="0"/>
          <w:sz w:val="24"/>
          <w:szCs w:val="24"/>
          <w:highlight w:val="none"/>
        </w:rPr>
        <w:t> </w:t>
      </w:r>
      <w:r>
        <w:rPr>
          <w:rFonts w:hint="eastAsia" w:ascii="仿宋" w:hAnsi="仿宋" w:eastAsia="仿宋" w:cs="仿宋"/>
          <w:color w:val="484848"/>
          <w:spacing w:val="0"/>
          <w:sz w:val="24"/>
          <w:szCs w:val="24"/>
          <w:highlight w:val="none"/>
        </w:rPr>
        <w:t> 根据研究者是否基于研究目的施加某种干预措施（以下简称研究性干预措施），临床研究可以分为</w:t>
      </w:r>
      <w:r>
        <w:rPr>
          <w:rFonts w:hint="eastAsia" w:ascii="仿宋" w:hAnsi="仿宋" w:eastAsia="仿宋" w:cs="仿宋"/>
          <w:color w:val="484848"/>
          <w:spacing w:val="0"/>
          <w:sz w:val="24"/>
          <w:szCs w:val="24"/>
          <w:highlight w:val="none"/>
        </w:rPr>
        <w:t>观察性研究和干预性研究</w:t>
      </w:r>
      <w:r>
        <w:rPr>
          <w:rFonts w:hint="eastAsia" w:ascii="仿宋" w:hAnsi="仿宋" w:eastAsia="仿宋" w:cs="仿宋"/>
          <w:color w:val="484848"/>
          <w:spacing w:val="0"/>
          <w:sz w:val="24"/>
          <w:szCs w:val="24"/>
          <w:highlight w:val="none"/>
        </w:rPr>
        <w:t>。</w:t>
      </w:r>
    </w:p>
    <w:p w14:paraId="7A3AFA1A">
      <w:pPr>
        <w:pStyle w:val="4"/>
        <w:keepNext w:val="0"/>
        <w:keepLines w:val="0"/>
        <w:widowControl/>
        <w:suppressLineNumbers w:val="0"/>
        <w:spacing w:after="0" w:afterAutospacing="0" w:line="23" w:lineRule="atLeast"/>
        <w:ind w:left="0" w:firstLine="420"/>
        <w:rPr>
          <w:rFonts w:hint="eastAsia" w:ascii="微软雅黑" w:hAnsi="微软雅黑" w:eastAsia="微软雅黑" w:cs="微软雅黑"/>
          <w:color w:val="484848"/>
          <w:spacing w:val="0"/>
          <w:sz w:val="32"/>
          <w:szCs w:val="32"/>
          <w:highlight w:val="none"/>
        </w:rPr>
      </w:pPr>
      <w:r>
        <w:rPr>
          <w:rFonts w:hint="eastAsia" w:ascii="黑体" w:hAnsi="宋体" w:eastAsia="黑体" w:cs="黑体"/>
          <w:color w:val="484848"/>
          <w:spacing w:val="0"/>
          <w:sz w:val="24"/>
          <w:szCs w:val="24"/>
          <w:highlight w:val="none"/>
        </w:rPr>
        <w:t>第十条</w:t>
      </w:r>
      <w:r>
        <w:rPr>
          <w:rFonts w:hint="eastAsia" w:ascii="仿宋" w:hAnsi="仿宋" w:eastAsia="仿宋" w:cs="仿宋"/>
          <w:color w:val="484848"/>
          <w:spacing w:val="0"/>
          <w:sz w:val="24"/>
          <w:szCs w:val="24"/>
          <w:highlight w:val="none"/>
        </w:rPr>
        <w:t>  开展观察性研究，</w:t>
      </w:r>
      <w:r>
        <w:rPr>
          <w:rFonts w:hint="eastAsia" w:ascii="仿宋" w:hAnsi="仿宋" w:eastAsia="仿宋" w:cs="仿宋"/>
          <w:color w:val="484848"/>
          <w:spacing w:val="0"/>
          <w:sz w:val="24"/>
          <w:szCs w:val="24"/>
          <w:highlight w:val="none"/>
        </w:rPr>
        <w:t>不得对研究参与者施加研究性干预措施</w:t>
      </w:r>
      <w:r>
        <w:rPr>
          <w:rFonts w:hint="eastAsia" w:ascii="仿宋" w:hAnsi="仿宋" w:eastAsia="仿宋" w:cs="仿宋"/>
          <w:color w:val="484848"/>
          <w:spacing w:val="0"/>
          <w:sz w:val="24"/>
          <w:szCs w:val="24"/>
          <w:highlight w:val="none"/>
        </w:rPr>
        <w:t>，不得使研究参与者</w:t>
      </w:r>
      <w:r>
        <w:rPr>
          <w:rFonts w:hint="eastAsia" w:ascii="仿宋" w:hAnsi="仿宋" w:eastAsia="仿宋" w:cs="仿宋"/>
          <w:color w:val="484848"/>
          <w:spacing w:val="0"/>
          <w:sz w:val="24"/>
          <w:szCs w:val="24"/>
          <w:highlight w:val="none"/>
        </w:rPr>
        <w:t>承担</w:t>
      </w:r>
      <w:r>
        <w:rPr>
          <w:rFonts w:hint="eastAsia" w:ascii="仿宋" w:hAnsi="仿宋" w:eastAsia="仿宋" w:cs="仿宋"/>
          <w:color w:val="484848"/>
          <w:spacing w:val="0"/>
          <w:sz w:val="24"/>
          <w:szCs w:val="24"/>
          <w:highlight w:val="none"/>
        </w:rPr>
        <w:t>超出常规诊疗或疾病防控需要的额外健康（疾病）风险或经济负担。</w:t>
      </w:r>
    </w:p>
    <w:p w14:paraId="63199343">
      <w:pPr>
        <w:pStyle w:val="4"/>
        <w:keepNext w:val="0"/>
        <w:keepLines w:val="0"/>
        <w:widowControl/>
        <w:suppressLineNumbers w:val="0"/>
        <w:spacing w:after="0" w:afterAutospacing="0" w:line="23" w:lineRule="atLeast"/>
        <w:ind w:left="0" w:firstLine="420"/>
        <w:rPr>
          <w:rFonts w:hint="eastAsia" w:ascii="仿宋" w:hAnsi="仿宋" w:eastAsia="仿宋" w:cs="仿宋"/>
          <w:color w:val="484848"/>
          <w:spacing w:val="0"/>
          <w:sz w:val="32"/>
          <w:szCs w:val="32"/>
          <w:highlight w:val="none"/>
        </w:rPr>
      </w:pPr>
      <w:r>
        <w:rPr>
          <w:rFonts w:hint="eastAsia" w:ascii="仿宋" w:hAnsi="仿宋" w:eastAsia="仿宋" w:cs="仿宋"/>
          <w:color w:val="484848"/>
          <w:spacing w:val="0"/>
          <w:sz w:val="24"/>
          <w:szCs w:val="24"/>
          <w:highlight w:val="none"/>
        </w:rPr>
        <w:t>除另有规定外，</w:t>
      </w:r>
      <w:r>
        <w:rPr>
          <w:rFonts w:hint="eastAsia" w:ascii="仿宋" w:hAnsi="仿宋" w:eastAsia="仿宋" w:cs="仿宋"/>
          <w:color w:val="484848"/>
          <w:spacing w:val="0"/>
          <w:sz w:val="24"/>
          <w:szCs w:val="24"/>
          <w:highlight w:val="none"/>
        </w:rPr>
        <w:t>观察性研究应当通过伦理审查</w:t>
      </w:r>
      <w:r>
        <w:rPr>
          <w:rFonts w:hint="eastAsia" w:ascii="仿宋" w:hAnsi="仿宋" w:eastAsia="仿宋" w:cs="仿宋"/>
          <w:color w:val="484848"/>
          <w:spacing w:val="0"/>
          <w:sz w:val="24"/>
          <w:szCs w:val="24"/>
          <w:highlight w:val="none"/>
        </w:rPr>
        <w:t>。</w:t>
      </w:r>
    </w:p>
    <w:p w14:paraId="26A06D1F">
      <w:pPr>
        <w:pStyle w:val="4"/>
        <w:keepNext w:val="0"/>
        <w:keepLines w:val="0"/>
        <w:widowControl/>
        <w:suppressLineNumbers w:val="0"/>
        <w:spacing w:after="0" w:afterAutospacing="0" w:line="23" w:lineRule="atLeast"/>
        <w:ind w:left="0" w:firstLine="420"/>
        <w:rPr>
          <w:rFonts w:hint="eastAsia" w:ascii="仿宋" w:hAnsi="仿宋" w:eastAsia="仿宋" w:cs="仿宋"/>
          <w:color w:val="484848"/>
          <w:spacing w:val="0"/>
          <w:sz w:val="32"/>
          <w:szCs w:val="32"/>
          <w:highlight w:val="none"/>
        </w:rPr>
      </w:pPr>
      <w:r>
        <w:rPr>
          <w:rFonts w:hint="eastAsia" w:ascii="仿宋" w:hAnsi="仿宋" w:eastAsia="仿宋" w:cs="仿宋"/>
          <w:color w:val="484848"/>
          <w:spacing w:val="0"/>
          <w:sz w:val="24"/>
          <w:szCs w:val="24"/>
          <w:highlight w:val="none"/>
        </w:rPr>
        <w:t>研究参与者因参加观察性研究接受超出常规诊疗或疾病防控需要的额外检查、检验、诊断等措施，可能造成的风险</w:t>
      </w:r>
      <w:r>
        <w:rPr>
          <w:rFonts w:hint="eastAsia" w:ascii="仿宋" w:hAnsi="仿宋" w:eastAsia="仿宋" w:cs="仿宋"/>
          <w:color w:val="484848"/>
          <w:spacing w:val="0"/>
          <w:sz w:val="24"/>
          <w:szCs w:val="24"/>
          <w:highlight w:val="none"/>
        </w:rPr>
        <w:t>超出</w:t>
      </w:r>
      <w:r>
        <w:rPr>
          <w:rFonts w:hint="eastAsia" w:ascii="仿宋" w:hAnsi="仿宋" w:eastAsia="仿宋" w:cs="仿宋"/>
          <w:color w:val="484848"/>
          <w:spacing w:val="0"/>
          <w:sz w:val="24"/>
          <w:szCs w:val="24"/>
          <w:highlight w:val="none"/>
        </w:rPr>
        <w:t>最小风险的，</w:t>
      </w:r>
      <w:r>
        <w:rPr>
          <w:rFonts w:hint="eastAsia" w:ascii="仿宋" w:hAnsi="仿宋" w:eastAsia="仿宋" w:cs="仿宋"/>
          <w:color w:val="484848"/>
          <w:spacing w:val="0"/>
          <w:sz w:val="24"/>
          <w:szCs w:val="24"/>
          <w:highlight w:val="none"/>
        </w:rPr>
        <w:t>按照干预性研究管理</w:t>
      </w:r>
      <w:r>
        <w:rPr>
          <w:rFonts w:hint="eastAsia" w:ascii="仿宋" w:hAnsi="仿宋" w:eastAsia="仿宋" w:cs="仿宋"/>
          <w:color w:val="484848"/>
          <w:spacing w:val="0"/>
          <w:sz w:val="24"/>
          <w:szCs w:val="24"/>
          <w:highlight w:val="none"/>
        </w:rPr>
        <w:t>。</w:t>
      </w:r>
    </w:p>
    <w:p w14:paraId="5E7CE683">
      <w:pPr>
        <w:pStyle w:val="4"/>
        <w:keepNext w:val="0"/>
        <w:keepLines w:val="0"/>
        <w:widowControl/>
        <w:suppressLineNumbers w:val="0"/>
        <w:spacing w:after="0" w:afterAutospacing="0" w:line="23" w:lineRule="atLeast"/>
        <w:ind w:left="0" w:firstLine="420"/>
        <w:rPr>
          <w:rFonts w:hint="eastAsia" w:ascii="微软雅黑" w:hAnsi="微软雅黑" w:eastAsia="微软雅黑" w:cs="微软雅黑"/>
          <w:color w:val="484848"/>
          <w:spacing w:val="0"/>
          <w:sz w:val="32"/>
          <w:szCs w:val="32"/>
          <w:highlight w:val="none"/>
        </w:rPr>
      </w:pPr>
      <w:r>
        <w:rPr>
          <w:rFonts w:hint="eastAsia" w:ascii="黑体" w:hAnsi="宋体" w:eastAsia="黑体" w:cs="黑体"/>
          <w:color w:val="484848"/>
          <w:spacing w:val="0"/>
          <w:sz w:val="24"/>
          <w:szCs w:val="24"/>
          <w:highlight w:val="none"/>
        </w:rPr>
        <w:t>第十一条</w:t>
      </w:r>
      <w:r>
        <w:rPr>
          <w:rStyle w:val="7"/>
          <w:rFonts w:hint="eastAsia" w:ascii="仿宋" w:hAnsi="仿宋" w:eastAsia="仿宋" w:cs="仿宋"/>
          <w:color w:val="484848"/>
          <w:spacing w:val="0"/>
          <w:sz w:val="24"/>
          <w:szCs w:val="24"/>
          <w:highlight w:val="none"/>
        </w:rPr>
        <w:t> </w:t>
      </w:r>
      <w:r>
        <w:rPr>
          <w:rFonts w:hint="eastAsia" w:ascii="仿宋" w:hAnsi="仿宋" w:eastAsia="仿宋" w:cs="仿宋"/>
          <w:color w:val="484848"/>
          <w:spacing w:val="0"/>
          <w:sz w:val="24"/>
          <w:szCs w:val="24"/>
          <w:highlight w:val="none"/>
        </w:rPr>
        <w:t> </w:t>
      </w:r>
      <w:r>
        <w:rPr>
          <w:rFonts w:hint="eastAsia" w:ascii="仿宋" w:hAnsi="仿宋" w:eastAsia="仿宋" w:cs="仿宋"/>
          <w:color w:val="484848"/>
          <w:spacing w:val="0"/>
          <w:sz w:val="24"/>
          <w:szCs w:val="24"/>
          <w:highlight w:val="none"/>
        </w:rPr>
        <w:t>开展干预性研究</w:t>
      </w:r>
      <w:r>
        <w:rPr>
          <w:rFonts w:hint="eastAsia" w:ascii="仿宋" w:hAnsi="仿宋" w:eastAsia="仿宋" w:cs="仿宋"/>
          <w:color w:val="484848"/>
          <w:spacing w:val="0"/>
          <w:sz w:val="24"/>
          <w:szCs w:val="24"/>
          <w:highlight w:val="none"/>
        </w:rPr>
        <w:t>，研究性干预措施应当符合医学的基本理论和伦理规范、具有扎实的</w:t>
      </w:r>
      <w:r>
        <w:rPr>
          <w:rFonts w:hint="eastAsia" w:ascii="仿宋" w:hAnsi="仿宋" w:eastAsia="仿宋" w:cs="仿宋"/>
          <w:color w:val="484848"/>
          <w:spacing w:val="0"/>
          <w:sz w:val="24"/>
          <w:szCs w:val="24"/>
          <w:highlight w:val="none"/>
        </w:rPr>
        <w:t>前期研究基础</w:t>
      </w:r>
      <w:r>
        <w:rPr>
          <w:rFonts w:hint="eastAsia" w:ascii="仿宋" w:hAnsi="仿宋" w:eastAsia="仿宋" w:cs="仿宋"/>
          <w:color w:val="484848"/>
          <w:spacing w:val="0"/>
          <w:sz w:val="24"/>
          <w:szCs w:val="24"/>
          <w:highlight w:val="none"/>
        </w:rPr>
        <w:t>、制定科学规范的研究方案和风险预案、通过科学性审查和伦理审查。</w:t>
      </w:r>
    </w:p>
    <w:p w14:paraId="6986B8E7">
      <w:pPr>
        <w:pStyle w:val="4"/>
        <w:keepNext w:val="0"/>
        <w:keepLines w:val="0"/>
        <w:widowControl/>
        <w:suppressLineNumbers w:val="0"/>
        <w:spacing w:after="0" w:afterAutospacing="0" w:line="23" w:lineRule="atLeast"/>
        <w:ind w:left="0" w:firstLine="420"/>
        <w:rPr>
          <w:rFonts w:hint="eastAsia" w:ascii="仿宋" w:hAnsi="仿宋" w:eastAsia="仿宋" w:cs="仿宋"/>
          <w:color w:val="484848"/>
          <w:spacing w:val="0"/>
          <w:sz w:val="32"/>
          <w:szCs w:val="32"/>
          <w:highlight w:val="none"/>
        </w:rPr>
      </w:pPr>
      <w:r>
        <w:rPr>
          <w:rFonts w:hint="eastAsia" w:ascii="仿宋" w:hAnsi="仿宋" w:eastAsia="仿宋" w:cs="仿宋"/>
          <w:color w:val="484848"/>
          <w:spacing w:val="0"/>
          <w:sz w:val="24"/>
          <w:szCs w:val="24"/>
          <w:highlight w:val="none"/>
        </w:rPr>
        <w:t>医疗卫生机构和研究者应当对干预性研究可能出现的</w:t>
      </w:r>
      <w:r>
        <w:rPr>
          <w:rFonts w:hint="eastAsia" w:ascii="仿宋" w:hAnsi="仿宋" w:eastAsia="仿宋" w:cs="仿宋"/>
          <w:color w:val="484848"/>
          <w:spacing w:val="0"/>
          <w:sz w:val="24"/>
          <w:szCs w:val="24"/>
          <w:highlight w:val="none"/>
        </w:rPr>
        <w:t>风险进行评估</w:t>
      </w:r>
      <w:r>
        <w:rPr>
          <w:rFonts w:hint="eastAsia" w:ascii="仿宋" w:hAnsi="仿宋" w:eastAsia="仿宋" w:cs="仿宋"/>
          <w:color w:val="484848"/>
          <w:spacing w:val="0"/>
          <w:sz w:val="24"/>
          <w:szCs w:val="24"/>
          <w:highlight w:val="none"/>
        </w:rPr>
        <w:t>，具备与风险相适应的处置能力，妥善保护干预性研究的研究参与者（以下简称受试者）的健康权益，不得违反临床研究管理规定向受试者收取与研究相关的费用，对于受试者在受试过程中支出的</w:t>
      </w:r>
      <w:r>
        <w:rPr>
          <w:rFonts w:hint="eastAsia" w:ascii="仿宋" w:hAnsi="仿宋" w:eastAsia="仿宋" w:cs="仿宋"/>
          <w:color w:val="484848"/>
          <w:spacing w:val="0"/>
          <w:sz w:val="24"/>
          <w:szCs w:val="24"/>
          <w:highlight w:val="none"/>
        </w:rPr>
        <w:t>合理费用</w:t>
      </w:r>
      <w:r>
        <w:rPr>
          <w:rFonts w:hint="eastAsia" w:ascii="仿宋" w:hAnsi="仿宋" w:eastAsia="仿宋" w:cs="仿宋"/>
          <w:color w:val="484848"/>
          <w:spacing w:val="0"/>
          <w:sz w:val="24"/>
          <w:szCs w:val="24"/>
          <w:highlight w:val="none"/>
        </w:rPr>
        <w:t>还</w:t>
      </w:r>
      <w:r>
        <w:rPr>
          <w:rFonts w:hint="eastAsia" w:ascii="仿宋" w:hAnsi="仿宋" w:eastAsia="仿宋" w:cs="仿宋"/>
          <w:color w:val="484848"/>
          <w:spacing w:val="0"/>
          <w:sz w:val="24"/>
          <w:szCs w:val="24"/>
          <w:highlight w:val="none"/>
        </w:rPr>
        <w:t>应当</w:t>
      </w:r>
      <w:r>
        <w:rPr>
          <w:rFonts w:hint="eastAsia" w:ascii="仿宋" w:hAnsi="仿宋" w:eastAsia="仿宋" w:cs="仿宋"/>
          <w:color w:val="484848"/>
          <w:spacing w:val="0"/>
          <w:sz w:val="24"/>
          <w:szCs w:val="24"/>
          <w:highlight w:val="none"/>
        </w:rPr>
        <w:t>给予适当补偿。</w:t>
      </w:r>
    </w:p>
    <w:p w14:paraId="6C5959DF">
      <w:pPr>
        <w:pStyle w:val="4"/>
        <w:keepNext w:val="0"/>
        <w:keepLines w:val="0"/>
        <w:widowControl/>
        <w:suppressLineNumbers w:val="0"/>
        <w:spacing w:after="0" w:afterAutospacing="0" w:line="23" w:lineRule="atLeast"/>
        <w:ind w:left="0" w:firstLine="420"/>
        <w:rPr>
          <w:rFonts w:hint="eastAsia" w:ascii="仿宋" w:hAnsi="仿宋" w:eastAsia="仿宋" w:cs="仿宋"/>
          <w:color w:val="484848"/>
          <w:spacing w:val="0"/>
          <w:sz w:val="32"/>
          <w:szCs w:val="32"/>
          <w:highlight w:val="none"/>
        </w:rPr>
      </w:pPr>
      <w:r>
        <w:rPr>
          <w:rFonts w:hint="eastAsia" w:ascii="仿宋" w:hAnsi="仿宋" w:eastAsia="仿宋" w:cs="仿宋"/>
          <w:color w:val="484848"/>
          <w:spacing w:val="0"/>
          <w:sz w:val="24"/>
          <w:szCs w:val="24"/>
          <w:highlight w:val="none"/>
        </w:rPr>
        <w:t>干预性研究一般由三级医疗机构、设区的市级及以上卫生机构牵头开展，其他医疗卫生机构可以参与干预性研究。</w:t>
      </w:r>
    </w:p>
    <w:p w14:paraId="2AE2F1FD">
      <w:pPr>
        <w:pStyle w:val="4"/>
        <w:keepNext w:val="0"/>
        <w:keepLines w:val="0"/>
        <w:widowControl/>
        <w:suppressLineNumbers w:val="0"/>
        <w:spacing w:after="0" w:afterAutospacing="0" w:line="23" w:lineRule="atLeast"/>
        <w:ind w:left="0" w:firstLine="420"/>
        <w:rPr>
          <w:rFonts w:hint="eastAsia" w:ascii="仿宋" w:hAnsi="仿宋" w:eastAsia="仿宋" w:cs="仿宋"/>
          <w:color w:val="484848"/>
          <w:spacing w:val="0"/>
          <w:sz w:val="32"/>
          <w:szCs w:val="32"/>
          <w:highlight w:val="none"/>
        </w:rPr>
      </w:pPr>
      <w:r>
        <w:rPr>
          <w:rFonts w:hint="eastAsia" w:ascii="仿宋" w:hAnsi="仿宋" w:eastAsia="仿宋" w:cs="仿宋"/>
          <w:color w:val="484848"/>
          <w:spacing w:val="0"/>
          <w:sz w:val="24"/>
          <w:szCs w:val="24"/>
          <w:highlight w:val="none"/>
        </w:rPr>
        <w:t>研究性干预措施为临床干预措施的，应当建立多学科研究团队，成员必须包括具备相应执业资格的医师，研究过程中涉及的医学判断、临床决策应当由其作出，原则上主要研究者须具备相应的医师执业资格。</w:t>
      </w:r>
    </w:p>
    <w:p w14:paraId="43962D68">
      <w:pPr>
        <w:pStyle w:val="4"/>
        <w:keepNext w:val="0"/>
        <w:keepLines w:val="0"/>
        <w:widowControl/>
        <w:suppressLineNumbers w:val="0"/>
        <w:spacing w:after="0" w:afterAutospacing="0" w:line="23" w:lineRule="atLeast"/>
        <w:ind w:left="0" w:firstLine="420"/>
        <w:rPr>
          <w:rFonts w:hint="eastAsia" w:ascii="微软雅黑" w:hAnsi="微软雅黑" w:eastAsia="微软雅黑" w:cs="微软雅黑"/>
          <w:color w:val="484848"/>
          <w:spacing w:val="0"/>
          <w:sz w:val="32"/>
          <w:szCs w:val="32"/>
          <w:highlight w:val="none"/>
        </w:rPr>
      </w:pPr>
      <w:r>
        <w:rPr>
          <w:rFonts w:hint="eastAsia" w:ascii="黑体" w:hAnsi="宋体" w:eastAsia="黑体" w:cs="黑体"/>
          <w:color w:val="484848"/>
          <w:spacing w:val="0"/>
          <w:sz w:val="24"/>
          <w:szCs w:val="24"/>
          <w:highlight w:val="none"/>
        </w:rPr>
        <w:t>第十二条</w:t>
      </w:r>
      <w:r>
        <w:rPr>
          <w:rFonts w:hint="eastAsia" w:ascii="仿宋" w:hAnsi="仿宋" w:eastAsia="仿宋" w:cs="仿宋"/>
          <w:color w:val="000000"/>
          <w:spacing w:val="0"/>
          <w:sz w:val="24"/>
          <w:szCs w:val="24"/>
          <w:highlight w:val="none"/>
          <w:shd w:val="clear" w:fill="FFFFFF"/>
        </w:rPr>
        <w:t>  </w:t>
      </w:r>
      <w:r>
        <w:rPr>
          <w:rFonts w:hint="eastAsia" w:ascii="仿宋" w:hAnsi="仿宋" w:eastAsia="仿宋" w:cs="仿宋"/>
          <w:color w:val="484848"/>
          <w:spacing w:val="0"/>
          <w:sz w:val="24"/>
          <w:szCs w:val="24"/>
          <w:highlight w:val="none"/>
        </w:rPr>
        <w:t>以手术和操作、物理治疗、心理治疗、行为干预、临床诊疗方案、群体性健康措施、生物医学技术等为干预措施的临床研究，</w:t>
      </w:r>
      <w:r>
        <w:rPr>
          <w:rFonts w:hint="eastAsia" w:ascii="仿宋" w:hAnsi="仿宋" w:eastAsia="仿宋" w:cs="仿宋"/>
          <w:color w:val="484848"/>
          <w:spacing w:val="0"/>
          <w:sz w:val="24"/>
          <w:szCs w:val="24"/>
          <w:highlight w:val="none"/>
        </w:rPr>
        <w:t>应当使用</w:t>
      </w:r>
      <w:r>
        <w:rPr>
          <w:rFonts w:hint="eastAsia" w:ascii="仿宋" w:hAnsi="仿宋" w:eastAsia="仿宋" w:cs="仿宋"/>
          <w:color w:val="FF0000"/>
          <w:spacing w:val="0"/>
          <w:sz w:val="24"/>
          <w:szCs w:val="24"/>
          <w:highlight w:val="none"/>
        </w:rPr>
        <w:t>已经批准上市</w:t>
      </w:r>
      <w:r>
        <w:rPr>
          <w:rFonts w:hint="eastAsia" w:ascii="仿宋" w:hAnsi="仿宋" w:eastAsia="仿宋" w:cs="仿宋"/>
          <w:color w:val="484848"/>
          <w:spacing w:val="0"/>
          <w:sz w:val="24"/>
          <w:szCs w:val="24"/>
          <w:highlight w:val="none"/>
        </w:rPr>
        <w:t>的药品、医疗器械</w:t>
      </w:r>
      <w:r>
        <w:rPr>
          <w:rFonts w:hint="eastAsia" w:ascii="仿宋" w:hAnsi="仿宋" w:eastAsia="仿宋" w:cs="仿宋"/>
          <w:color w:val="484848"/>
          <w:spacing w:val="0"/>
          <w:sz w:val="24"/>
          <w:szCs w:val="24"/>
          <w:highlight w:val="none"/>
        </w:rPr>
        <w:t>等产品并在产品批准的</w:t>
      </w:r>
      <w:r>
        <w:rPr>
          <w:rFonts w:hint="eastAsia" w:ascii="仿宋" w:hAnsi="仿宋" w:eastAsia="仿宋" w:cs="仿宋"/>
          <w:color w:val="484848"/>
          <w:spacing w:val="0"/>
          <w:sz w:val="24"/>
          <w:szCs w:val="24"/>
          <w:highlight w:val="none"/>
        </w:rPr>
        <w:t>适用范围内或在符合产品临床应用指导原则的前提下</w:t>
      </w:r>
      <w:r>
        <w:rPr>
          <w:rFonts w:hint="eastAsia" w:ascii="仿宋" w:hAnsi="仿宋" w:eastAsia="仿宋" w:cs="仿宋"/>
          <w:color w:val="484848"/>
          <w:spacing w:val="0"/>
          <w:sz w:val="24"/>
          <w:szCs w:val="24"/>
          <w:highlight w:val="none"/>
        </w:rPr>
        <w:t>开展。</w:t>
      </w:r>
    </w:p>
    <w:p w14:paraId="43FC6897">
      <w:pPr>
        <w:pStyle w:val="4"/>
        <w:keepNext w:val="0"/>
        <w:keepLines w:val="0"/>
        <w:widowControl/>
        <w:suppressLineNumbers w:val="0"/>
        <w:spacing w:after="0" w:afterAutospacing="0" w:line="23" w:lineRule="atLeast"/>
        <w:ind w:left="0" w:firstLine="420"/>
        <w:rPr>
          <w:rFonts w:hint="eastAsia" w:ascii="微软雅黑" w:hAnsi="微软雅黑" w:eastAsia="微软雅黑" w:cs="微软雅黑"/>
          <w:color w:val="484848"/>
          <w:spacing w:val="0"/>
          <w:sz w:val="32"/>
          <w:szCs w:val="32"/>
          <w:highlight w:val="none"/>
        </w:rPr>
      </w:pPr>
      <w:r>
        <w:rPr>
          <w:rFonts w:hint="eastAsia" w:ascii="黑体" w:hAnsi="宋体" w:eastAsia="黑体" w:cs="黑体"/>
          <w:color w:val="484848"/>
          <w:spacing w:val="0"/>
          <w:sz w:val="24"/>
          <w:szCs w:val="24"/>
          <w:highlight w:val="none"/>
        </w:rPr>
        <w:t>第十三条</w:t>
      </w:r>
      <w:r>
        <w:rPr>
          <w:rFonts w:hint="eastAsia" w:ascii="仿宋" w:hAnsi="仿宋" w:eastAsia="仿宋" w:cs="仿宋"/>
          <w:color w:val="000000"/>
          <w:spacing w:val="0"/>
          <w:sz w:val="24"/>
          <w:szCs w:val="24"/>
          <w:highlight w:val="none"/>
          <w:shd w:val="clear" w:fill="FFFFFF"/>
        </w:rPr>
        <w:t>  </w:t>
      </w:r>
      <w:r>
        <w:rPr>
          <w:rFonts w:hint="eastAsia" w:ascii="仿宋" w:hAnsi="仿宋" w:eastAsia="仿宋" w:cs="仿宋"/>
          <w:color w:val="484848"/>
          <w:spacing w:val="0"/>
          <w:sz w:val="24"/>
          <w:szCs w:val="24"/>
          <w:highlight w:val="none"/>
        </w:rPr>
        <w:t>以</w:t>
      </w:r>
      <w:r>
        <w:rPr>
          <w:rFonts w:hint="eastAsia" w:ascii="仿宋" w:hAnsi="仿宋" w:eastAsia="仿宋" w:cs="仿宋"/>
          <w:color w:val="484848"/>
          <w:spacing w:val="0"/>
          <w:sz w:val="24"/>
          <w:szCs w:val="24"/>
          <w:highlight w:val="none"/>
        </w:rPr>
        <w:t>上市后</w:t>
      </w:r>
      <w:r>
        <w:rPr>
          <w:rFonts w:hint="eastAsia" w:ascii="仿宋" w:hAnsi="仿宋" w:eastAsia="仿宋" w:cs="仿宋"/>
          <w:color w:val="484848"/>
          <w:spacing w:val="0"/>
          <w:sz w:val="24"/>
          <w:szCs w:val="24"/>
          <w:highlight w:val="none"/>
        </w:rPr>
        <w:t>药品、医疗器械等产品为研究性干预措施的临床研究，一般在遵循产品临床应用指导原则、临床诊疗指南和说明书的前提下开展。</w:t>
      </w:r>
    </w:p>
    <w:p w14:paraId="48046AE0">
      <w:pPr>
        <w:pStyle w:val="4"/>
        <w:keepNext w:val="0"/>
        <w:keepLines w:val="0"/>
        <w:widowControl/>
        <w:suppressLineNumbers w:val="0"/>
        <w:spacing w:after="0" w:afterAutospacing="0" w:line="23" w:lineRule="atLeast"/>
        <w:ind w:left="0" w:firstLine="420"/>
        <w:rPr>
          <w:rFonts w:hint="eastAsia" w:ascii="仿宋" w:hAnsi="仿宋" w:eastAsia="仿宋" w:cs="仿宋"/>
          <w:color w:val="484848"/>
          <w:spacing w:val="0"/>
          <w:sz w:val="32"/>
          <w:szCs w:val="32"/>
          <w:highlight w:val="none"/>
        </w:rPr>
      </w:pPr>
      <w:r>
        <w:rPr>
          <w:rFonts w:hint="eastAsia" w:ascii="仿宋" w:hAnsi="仿宋" w:eastAsia="仿宋" w:cs="仿宋"/>
          <w:color w:val="484848"/>
          <w:spacing w:val="0"/>
          <w:sz w:val="24"/>
          <w:szCs w:val="24"/>
          <w:highlight w:val="none"/>
        </w:rPr>
        <w:t>当</w:t>
      </w:r>
      <w:r>
        <w:rPr>
          <w:rFonts w:hint="eastAsia" w:ascii="仿宋" w:hAnsi="仿宋" w:eastAsia="仿宋" w:cs="仿宋"/>
          <w:color w:val="484848"/>
          <w:spacing w:val="0"/>
          <w:sz w:val="24"/>
          <w:szCs w:val="24"/>
          <w:highlight w:val="none"/>
        </w:rPr>
        <w:t>同时满足下列条件时</w:t>
      </w:r>
      <w:r>
        <w:rPr>
          <w:rFonts w:hint="eastAsia" w:ascii="仿宋" w:hAnsi="仿宋" w:eastAsia="仿宋" w:cs="仿宋"/>
          <w:color w:val="484848"/>
          <w:spacing w:val="0"/>
          <w:sz w:val="24"/>
          <w:szCs w:val="24"/>
          <w:highlight w:val="none"/>
        </w:rPr>
        <w:t>，对</w:t>
      </w:r>
      <w:r>
        <w:rPr>
          <w:rFonts w:hint="eastAsia" w:ascii="仿宋" w:hAnsi="仿宋" w:eastAsia="仿宋" w:cs="仿宋"/>
          <w:color w:val="484848"/>
          <w:spacing w:val="0"/>
          <w:sz w:val="24"/>
          <w:szCs w:val="24"/>
          <w:highlight w:val="none"/>
        </w:rPr>
        <w:t>上市后药品、医疗器械等产品</w:t>
      </w:r>
      <w:r>
        <w:rPr>
          <w:rFonts w:hint="eastAsia" w:ascii="仿宋" w:hAnsi="仿宋" w:eastAsia="仿宋" w:cs="仿宋"/>
          <w:color w:val="484848"/>
          <w:spacing w:val="0"/>
          <w:sz w:val="24"/>
          <w:szCs w:val="24"/>
          <w:highlight w:val="none"/>
        </w:rPr>
        <w:t>可以超出产品临床应用指导原则、临床诊疗指南和说明书开展干预性研究。</w:t>
      </w:r>
    </w:p>
    <w:p w14:paraId="63C4A786">
      <w:pPr>
        <w:pStyle w:val="4"/>
        <w:keepNext w:val="0"/>
        <w:keepLines w:val="0"/>
        <w:widowControl/>
        <w:suppressLineNumbers w:val="0"/>
        <w:spacing w:after="0" w:afterAutospacing="0" w:line="23" w:lineRule="atLeast"/>
        <w:ind w:left="0" w:firstLine="420"/>
        <w:rPr>
          <w:rFonts w:hint="eastAsia" w:ascii="仿宋" w:hAnsi="仿宋" w:eastAsia="仿宋" w:cs="仿宋"/>
          <w:color w:val="484848"/>
          <w:spacing w:val="0"/>
          <w:sz w:val="32"/>
          <w:szCs w:val="32"/>
          <w:highlight w:val="none"/>
        </w:rPr>
      </w:pPr>
      <w:r>
        <w:rPr>
          <w:rFonts w:hint="eastAsia" w:ascii="仿宋" w:hAnsi="仿宋" w:eastAsia="仿宋" w:cs="仿宋"/>
          <w:color w:val="484848"/>
          <w:spacing w:val="0"/>
          <w:sz w:val="24"/>
          <w:szCs w:val="24"/>
          <w:highlight w:val="none"/>
        </w:rPr>
        <w:t>（一）由</w:t>
      </w:r>
      <w:r>
        <w:rPr>
          <w:rFonts w:hint="eastAsia" w:ascii="仿宋" w:hAnsi="仿宋" w:eastAsia="仿宋" w:cs="仿宋"/>
          <w:color w:val="484848"/>
          <w:spacing w:val="0"/>
          <w:sz w:val="24"/>
          <w:szCs w:val="24"/>
          <w:highlight w:val="none"/>
        </w:rPr>
        <w:t>临床研究管理体系完备</w:t>
      </w:r>
      <w:r>
        <w:rPr>
          <w:rFonts w:hint="eastAsia" w:ascii="仿宋" w:hAnsi="仿宋" w:eastAsia="仿宋" w:cs="仿宋"/>
          <w:color w:val="484848"/>
          <w:spacing w:val="0"/>
          <w:sz w:val="24"/>
          <w:szCs w:val="24"/>
          <w:highlight w:val="none"/>
        </w:rPr>
        <w:t>的</w:t>
      </w:r>
      <w:r>
        <w:rPr>
          <w:rFonts w:hint="eastAsia" w:ascii="仿宋" w:hAnsi="仿宋" w:eastAsia="仿宋" w:cs="仿宋"/>
          <w:color w:val="484848"/>
          <w:spacing w:val="0"/>
          <w:sz w:val="24"/>
          <w:szCs w:val="24"/>
          <w:highlight w:val="none"/>
        </w:rPr>
        <w:t>三级甲等医院</w:t>
      </w:r>
      <w:r>
        <w:rPr>
          <w:rFonts w:hint="eastAsia" w:ascii="仿宋" w:hAnsi="仿宋" w:eastAsia="仿宋" w:cs="仿宋"/>
          <w:color w:val="484848"/>
          <w:spacing w:val="0"/>
          <w:sz w:val="24"/>
          <w:szCs w:val="24"/>
          <w:highlight w:val="none"/>
        </w:rPr>
        <w:t>或与之具有相同医疗技术水平和医疗保障能力的医院牵头开展。</w:t>
      </w:r>
    </w:p>
    <w:p w14:paraId="19EE4A21">
      <w:pPr>
        <w:pStyle w:val="4"/>
        <w:keepNext w:val="0"/>
        <w:keepLines w:val="0"/>
        <w:widowControl/>
        <w:suppressLineNumbers w:val="0"/>
        <w:spacing w:after="0" w:afterAutospacing="0" w:line="23" w:lineRule="atLeast"/>
        <w:ind w:left="0" w:firstLine="420"/>
        <w:rPr>
          <w:rFonts w:hint="eastAsia" w:ascii="仿宋" w:hAnsi="仿宋" w:eastAsia="仿宋" w:cs="仿宋"/>
          <w:color w:val="484848"/>
          <w:spacing w:val="0"/>
          <w:sz w:val="32"/>
          <w:szCs w:val="32"/>
          <w:highlight w:val="none"/>
        </w:rPr>
      </w:pPr>
      <w:r>
        <w:rPr>
          <w:rFonts w:hint="eastAsia" w:ascii="仿宋" w:hAnsi="仿宋" w:eastAsia="仿宋" w:cs="仿宋"/>
          <w:color w:val="484848"/>
          <w:spacing w:val="0"/>
          <w:sz w:val="24"/>
          <w:szCs w:val="24"/>
          <w:highlight w:val="none"/>
        </w:rPr>
        <w:t>（二）针对严重危害人的生命健康或者严重影响生存质量且目前无确切有效干预措施的疾病，或者虽有确切有效的干预措施</w:t>
      </w:r>
      <w:r>
        <w:rPr>
          <w:rFonts w:hint="eastAsia" w:ascii="仿宋" w:hAnsi="仿宋" w:eastAsia="仿宋" w:cs="仿宋"/>
          <w:color w:val="484848"/>
          <w:spacing w:val="0"/>
          <w:sz w:val="24"/>
          <w:szCs w:val="24"/>
          <w:highlight w:val="none"/>
        </w:rPr>
        <w:t>但不可获取或者研究性干预措施具有显著的卫生经济学</w:t>
      </w:r>
      <w:r>
        <w:rPr>
          <w:rFonts w:hint="eastAsia" w:ascii="仿宋" w:hAnsi="仿宋" w:eastAsia="仿宋" w:cs="仿宋"/>
          <w:color w:val="484848"/>
          <w:spacing w:val="0"/>
          <w:sz w:val="24"/>
          <w:szCs w:val="24"/>
          <w:highlight w:val="none"/>
        </w:rPr>
        <w:t>效益。</w:t>
      </w:r>
    </w:p>
    <w:p w14:paraId="1ADA18A6">
      <w:pPr>
        <w:pStyle w:val="4"/>
        <w:keepNext w:val="0"/>
        <w:keepLines w:val="0"/>
        <w:widowControl/>
        <w:suppressLineNumbers w:val="0"/>
        <w:spacing w:after="0" w:afterAutospacing="0" w:line="23" w:lineRule="atLeast"/>
        <w:ind w:left="0" w:firstLine="420"/>
        <w:rPr>
          <w:rFonts w:hint="eastAsia" w:ascii="仿宋" w:hAnsi="仿宋" w:eastAsia="仿宋" w:cs="仿宋"/>
          <w:color w:val="484848"/>
          <w:spacing w:val="0"/>
          <w:sz w:val="32"/>
          <w:szCs w:val="32"/>
          <w:highlight w:val="none"/>
        </w:rPr>
      </w:pPr>
      <w:r>
        <w:rPr>
          <w:rFonts w:hint="eastAsia" w:ascii="仿宋" w:hAnsi="仿宋" w:eastAsia="仿宋" w:cs="仿宋"/>
          <w:color w:val="484848"/>
          <w:spacing w:val="0"/>
          <w:sz w:val="24"/>
          <w:szCs w:val="24"/>
          <w:highlight w:val="none"/>
        </w:rPr>
        <w:t>（三）有体外实验手段、动物模型的，相关实验研究结果</w:t>
      </w:r>
      <w:r>
        <w:rPr>
          <w:rFonts w:hint="eastAsia" w:ascii="仿宋" w:hAnsi="仿宋" w:eastAsia="仿宋" w:cs="仿宋"/>
          <w:color w:val="484848"/>
          <w:spacing w:val="0"/>
          <w:sz w:val="24"/>
          <w:szCs w:val="24"/>
          <w:highlight w:val="none"/>
        </w:rPr>
        <w:t>应当支持</w:t>
      </w:r>
      <w:r>
        <w:rPr>
          <w:rFonts w:hint="eastAsia" w:ascii="仿宋" w:hAnsi="仿宋" w:eastAsia="仿宋" w:cs="仿宋"/>
          <w:color w:val="484848"/>
          <w:spacing w:val="0"/>
          <w:sz w:val="24"/>
          <w:szCs w:val="24"/>
          <w:highlight w:val="none"/>
        </w:rPr>
        <w:t>开展临床研究；或者</w:t>
      </w:r>
      <w:r>
        <w:rPr>
          <w:rFonts w:hint="eastAsia" w:ascii="仿宋" w:hAnsi="仿宋" w:eastAsia="仿宋" w:cs="仿宋"/>
          <w:color w:val="484848"/>
          <w:spacing w:val="0"/>
          <w:sz w:val="24"/>
          <w:szCs w:val="24"/>
          <w:highlight w:val="none"/>
        </w:rPr>
        <w:t>观察性</w:t>
      </w:r>
      <w:r>
        <w:rPr>
          <w:rFonts w:hint="eastAsia" w:ascii="仿宋" w:hAnsi="仿宋" w:eastAsia="仿宋" w:cs="仿宋"/>
          <w:color w:val="484848"/>
          <w:spacing w:val="0"/>
          <w:sz w:val="24"/>
          <w:szCs w:val="24"/>
          <w:highlight w:val="none"/>
        </w:rPr>
        <w:t>研究结果提示</w:t>
      </w:r>
      <w:r>
        <w:rPr>
          <w:rFonts w:hint="eastAsia" w:ascii="仿宋" w:hAnsi="仿宋" w:eastAsia="仿宋" w:cs="仿宋"/>
          <w:color w:val="484848"/>
          <w:spacing w:val="0"/>
          <w:sz w:val="24"/>
          <w:szCs w:val="24"/>
          <w:highlight w:val="none"/>
        </w:rPr>
        <w:t>确有必要开展干预性研究</w:t>
      </w:r>
      <w:r>
        <w:rPr>
          <w:rFonts w:hint="eastAsia" w:ascii="仿宋" w:hAnsi="仿宋" w:eastAsia="仿宋" w:cs="仿宋"/>
          <w:color w:val="484848"/>
          <w:spacing w:val="0"/>
          <w:sz w:val="24"/>
          <w:szCs w:val="24"/>
          <w:highlight w:val="none"/>
        </w:rPr>
        <w:t>。</w:t>
      </w:r>
    </w:p>
    <w:p w14:paraId="08DC5A1A">
      <w:pPr>
        <w:pStyle w:val="4"/>
        <w:keepNext w:val="0"/>
        <w:keepLines w:val="0"/>
        <w:widowControl/>
        <w:suppressLineNumbers w:val="0"/>
        <w:spacing w:after="0" w:afterAutospacing="0" w:line="23" w:lineRule="atLeast"/>
        <w:ind w:left="0" w:firstLine="420"/>
        <w:rPr>
          <w:rFonts w:hint="eastAsia" w:ascii="仿宋" w:hAnsi="仿宋" w:eastAsia="仿宋" w:cs="仿宋"/>
          <w:color w:val="484848"/>
          <w:spacing w:val="0"/>
          <w:sz w:val="32"/>
          <w:szCs w:val="32"/>
          <w:highlight w:val="none"/>
        </w:rPr>
      </w:pPr>
      <w:r>
        <w:rPr>
          <w:rFonts w:hint="eastAsia" w:ascii="仿宋" w:hAnsi="仿宋" w:eastAsia="仿宋" w:cs="仿宋"/>
          <w:color w:val="484848"/>
          <w:spacing w:val="0"/>
          <w:sz w:val="24"/>
          <w:szCs w:val="24"/>
          <w:highlight w:val="none"/>
        </w:rPr>
        <w:t>（四）使用方法</w:t>
      </w:r>
      <w:r>
        <w:rPr>
          <w:rFonts w:hint="eastAsia" w:ascii="仿宋" w:hAnsi="仿宋" w:eastAsia="仿宋" w:cs="仿宋"/>
          <w:color w:val="484848"/>
          <w:spacing w:val="0"/>
          <w:sz w:val="24"/>
          <w:szCs w:val="24"/>
          <w:highlight w:val="none"/>
        </w:rPr>
        <w:t>不超过现有说明书的用法用量</w:t>
      </w:r>
      <w:r>
        <w:rPr>
          <w:rFonts w:hint="eastAsia" w:ascii="仿宋" w:hAnsi="仿宋" w:eastAsia="仿宋" w:cs="仿宋"/>
          <w:color w:val="484848"/>
          <w:spacing w:val="0"/>
          <w:sz w:val="24"/>
          <w:szCs w:val="24"/>
          <w:highlight w:val="none"/>
        </w:rPr>
        <w:t>，预期</w:t>
      </w:r>
      <w:r>
        <w:rPr>
          <w:rFonts w:hint="eastAsia" w:ascii="仿宋" w:hAnsi="仿宋" w:eastAsia="仿宋" w:cs="仿宋"/>
          <w:color w:val="484848"/>
          <w:spacing w:val="0"/>
          <w:sz w:val="24"/>
          <w:szCs w:val="24"/>
          <w:highlight w:val="none"/>
        </w:rPr>
        <w:t>人体内药物浓度</w:t>
      </w:r>
      <w:r>
        <w:rPr>
          <w:rFonts w:hint="eastAsia" w:ascii="仿宋" w:hAnsi="仿宋" w:eastAsia="仿宋" w:cs="仿宋"/>
          <w:color w:val="484848"/>
          <w:spacing w:val="0"/>
          <w:sz w:val="24"/>
          <w:szCs w:val="24"/>
          <w:highlight w:val="none"/>
        </w:rPr>
        <w:t>（或生物效应）可以达到有效浓度（或有效水平）；或者使用方法虽超过现有说明书用法用量但有充分证据证明其安全性、耐受性良好，或者具有明确的风险获益评估证据且具有良好风险控制措施。</w:t>
      </w:r>
    </w:p>
    <w:p w14:paraId="3AB08EEA">
      <w:pPr>
        <w:pStyle w:val="4"/>
        <w:keepNext w:val="0"/>
        <w:keepLines w:val="0"/>
        <w:widowControl/>
        <w:suppressLineNumbers w:val="0"/>
        <w:spacing w:after="0" w:afterAutospacing="0" w:line="23" w:lineRule="atLeast"/>
        <w:ind w:left="0" w:firstLine="420"/>
        <w:rPr>
          <w:rFonts w:hint="eastAsia" w:ascii="微软雅黑" w:hAnsi="微软雅黑" w:eastAsia="微软雅黑" w:cs="微软雅黑"/>
          <w:color w:val="484848"/>
          <w:spacing w:val="0"/>
          <w:sz w:val="32"/>
          <w:szCs w:val="32"/>
          <w:highlight w:val="none"/>
        </w:rPr>
      </w:pPr>
      <w:r>
        <w:rPr>
          <w:rFonts w:hint="eastAsia" w:ascii="黑体" w:hAnsi="宋体" w:eastAsia="黑体" w:cs="黑体"/>
          <w:color w:val="484848"/>
          <w:spacing w:val="0"/>
          <w:sz w:val="24"/>
          <w:szCs w:val="24"/>
          <w:highlight w:val="none"/>
        </w:rPr>
        <w:t>第十四条  </w:t>
      </w:r>
      <w:r>
        <w:rPr>
          <w:rFonts w:hint="eastAsia" w:ascii="仿宋" w:hAnsi="仿宋" w:eastAsia="仿宋" w:cs="仿宋"/>
          <w:color w:val="484848"/>
          <w:spacing w:val="0"/>
          <w:sz w:val="24"/>
          <w:szCs w:val="24"/>
          <w:highlight w:val="none"/>
        </w:rPr>
        <w:t>对已经得到充分验证的干预措施，不得开展无意义的重复性临床研究。</w:t>
      </w:r>
    </w:p>
    <w:p w14:paraId="4A7A78A4">
      <w:pPr>
        <w:pStyle w:val="4"/>
        <w:keepNext w:val="0"/>
        <w:keepLines w:val="0"/>
        <w:widowControl/>
        <w:suppressLineNumbers w:val="0"/>
        <w:spacing w:after="0" w:afterAutospacing="0" w:line="23" w:lineRule="atLeast"/>
        <w:ind w:left="0" w:firstLine="420"/>
        <w:rPr>
          <w:rFonts w:hint="eastAsia" w:ascii="仿宋" w:hAnsi="仿宋" w:eastAsia="仿宋" w:cs="仿宋"/>
          <w:color w:val="484848"/>
          <w:spacing w:val="0"/>
          <w:sz w:val="32"/>
          <w:szCs w:val="32"/>
          <w:highlight w:val="none"/>
        </w:rPr>
      </w:pPr>
      <w:r>
        <w:rPr>
          <w:rFonts w:hint="eastAsia" w:ascii="仿宋" w:hAnsi="仿宋" w:eastAsia="仿宋" w:cs="仿宋"/>
          <w:color w:val="484848"/>
          <w:spacing w:val="0"/>
          <w:sz w:val="24"/>
          <w:szCs w:val="24"/>
          <w:highlight w:val="none"/>
        </w:rPr>
        <w:t> </w:t>
      </w:r>
    </w:p>
    <w:p w14:paraId="03D084D1">
      <w:pPr>
        <w:pStyle w:val="4"/>
        <w:keepNext w:val="0"/>
        <w:keepLines w:val="0"/>
        <w:widowControl/>
        <w:suppressLineNumbers w:val="0"/>
        <w:spacing w:after="0" w:afterAutospacing="0" w:line="23" w:lineRule="atLeast"/>
        <w:jc w:val="center"/>
        <w:rPr>
          <w:rFonts w:hint="eastAsia" w:ascii="微软雅黑" w:hAnsi="微软雅黑" w:eastAsia="微软雅黑" w:cs="微软雅黑"/>
          <w:color w:val="484848"/>
          <w:spacing w:val="0"/>
          <w:sz w:val="32"/>
          <w:szCs w:val="32"/>
          <w:highlight w:val="none"/>
        </w:rPr>
      </w:pPr>
      <w:r>
        <w:rPr>
          <w:rFonts w:hint="eastAsia" w:ascii="黑体" w:hAnsi="宋体" w:eastAsia="黑体" w:cs="黑体"/>
          <w:color w:val="484848"/>
          <w:spacing w:val="0"/>
          <w:sz w:val="24"/>
          <w:szCs w:val="24"/>
          <w:highlight w:val="none"/>
        </w:rPr>
        <w:t>第三章  组织管理</w:t>
      </w:r>
    </w:p>
    <w:p w14:paraId="3BB4BC4C">
      <w:pPr>
        <w:pStyle w:val="4"/>
        <w:keepNext w:val="0"/>
        <w:keepLines w:val="0"/>
        <w:widowControl/>
        <w:suppressLineNumbers w:val="0"/>
        <w:spacing w:after="0" w:afterAutospacing="0" w:line="23" w:lineRule="atLeast"/>
        <w:ind w:left="0" w:firstLine="420"/>
        <w:rPr>
          <w:rFonts w:hint="eastAsia" w:ascii="微软雅黑" w:hAnsi="微软雅黑" w:eastAsia="微软雅黑" w:cs="微软雅黑"/>
          <w:color w:val="484848"/>
          <w:spacing w:val="0"/>
          <w:sz w:val="32"/>
          <w:szCs w:val="32"/>
          <w:highlight w:val="none"/>
        </w:rPr>
      </w:pPr>
      <w:r>
        <w:rPr>
          <w:rFonts w:hint="eastAsia" w:ascii="黑体" w:hAnsi="宋体" w:eastAsia="黑体" w:cs="黑体"/>
          <w:color w:val="484848"/>
          <w:spacing w:val="0"/>
          <w:sz w:val="24"/>
          <w:szCs w:val="24"/>
          <w:highlight w:val="none"/>
        </w:rPr>
        <w:t>第十五条</w:t>
      </w:r>
      <w:r>
        <w:rPr>
          <w:rFonts w:hint="eastAsia" w:ascii="仿宋" w:hAnsi="仿宋" w:eastAsia="仿宋" w:cs="仿宋"/>
          <w:color w:val="484848"/>
          <w:spacing w:val="0"/>
          <w:sz w:val="24"/>
          <w:szCs w:val="24"/>
          <w:highlight w:val="none"/>
        </w:rPr>
        <w:t>  开展临床研究的医疗卫生机构应当</w:t>
      </w:r>
      <w:r>
        <w:rPr>
          <w:rFonts w:hint="eastAsia" w:ascii="仿宋" w:hAnsi="仿宋" w:eastAsia="仿宋" w:cs="仿宋"/>
          <w:color w:val="484848"/>
          <w:spacing w:val="0"/>
          <w:sz w:val="24"/>
          <w:szCs w:val="24"/>
          <w:highlight w:val="none"/>
        </w:rPr>
        <w:t>设有临床研究管理委员会</w:t>
      </w:r>
      <w:r>
        <w:rPr>
          <w:rFonts w:hint="eastAsia" w:ascii="仿宋" w:hAnsi="仿宋" w:eastAsia="仿宋" w:cs="仿宋"/>
          <w:color w:val="484848"/>
          <w:spacing w:val="0"/>
          <w:sz w:val="24"/>
          <w:szCs w:val="24"/>
          <w:highlight w:val="none"/>
        </w:rPr>
        <w:t>，并明确专门部门（以下称临床研究管理部门）负责临床研究管理。</w:t>
      </w:r>
    </w:p>
    <w:p w14:paraId="500C34C3">
      <w:pPr>
        <w:pStyle w:val="4"/>
        <w:keepNext w:val="0"/>
        <w:keepLines w:val="0"/>
        <w:widowControl/>
        <w:suppressLineNumbers w:val="0"/>
        <w:spacing w:after="0" w:afterAutospacing="0" w:line="23" w:lineRule="atLeast"/>
        <w:ind w:left="0" w:firstLine="420"/>
        <w:rPr>
          <w:rFonts w:hint="eastAsia" w:ascii="仿宋" w:hAnsi="仿宋" w:eastAsia="仿宋" w:cs="仿宋"/>
          <w:color w:val="484848"/>
          <w:spacing w:val="0"/>
          <w:sz w:val="32"/>
          <w:szCs w:val="32"/>
          <w:highlight w:val="none"/>
        </w:rPr>
      </w:pPr>
      <w:r>
        <w:rPr>
          <w:rFonts w:hint="eastAsia" w:ascii="仿宋" w:hAnsi="仿宋" w:eastAsia="仿宋" w:cs="仿宋"/>
          <w:color w:val="484848"/>
          <w:spacing w:val="0"/>
          <w:sz w:val="24"/>
          <w:szCs w:val="24"/>
          <w:highlight w:val="none"/>
        </w:rPr>
        <w:t>医疗卫生机构应当明确临床研究管理人员，配备</w:t>
      </w:r>
      <w:r>
        <w:rPr>
          <w:rFonts w:hint="eastAsia" w:ascii="仿宋" w:hAnsi="仿宋" w:eastAsia="仿宋" w:cs="仿宋"/>
          <w:color w:val="484848"/>
          <w:spacing w:val="0"/>
          <w:sz w:val="24"/>
          <w:szCs w:val="24"/>
          <w:highlight w:val="none"/>
        </w:rPr>
        <w:t>必要的条件保障</w:t>
      </w:r>
      <w:r>
        <w:rPr>
          <w:rFonts w:hint="eastAsia" w:ascii="仿宋" w:hAnsi="仿宋" w:eastAsia="仿宋" w:cs="仿宋"/>
          <w:color w:val="484848"/>
          <w:spacing w:val="0"/>
          <w:sz w:val="24"/>
          <w:szCs w:val="24"/>
          <w:highlight w:val="none"/>
        </w:rPr>
        <w:t>。</w:t>
      </w:r>
    </w:p>
    <w:p w14:paraId="3A4AC167">
      <w:pPr>
        <w:pStyle w:val="4"/>
        <w:keepNext w:val="0"/>
        <w:keepLines w:val="0"/>
        <w:widowControl/>
        <w:suppressLineNumbers w:val="0"/>
        <w:spacing w:after="0" w:afterAutospacing="0" w:line="23" w:lineRule="atLeast"/>
        <w:ind w:left="0" w:firstLine="420"/>
        <w:rPr>
          <w:rFonts w:hint="eastAsia" w:ascii="微软雅黑" w:hAnsi="微软雅黑" w:eastAsia="微软雅黑" w:cs="微软雅黑"/>
          <w:color w:val="484848"/>
          <w:spacing w:val="0"/>
          <w:sz w:val="32"/>
          <w:szCs w:val="32"/>
          <w:highlight w:val="none"/>
        </w:rPr>
      </w:pPr>
      <w:r>
        <w:rPr>
          <w:rFonts w:hint="eastAsia" w:ascii="黑体" w:hAnsi="宋体" w:eastAsia="黑体" w:cs="黑体"/>
          <w:color w:val="484848"/>
          <w:spacing w:val="0"/>
          <w:sz w:val="24"/>
          <w:szCs w:val="24"/>
          <w:highlight w:val="none"/>
        </w:rPr>
        <w:t>第十六条</w:t>
      </w:r>
      <w:r>
        <w:rPr>
          <w:rFonts w:hint="eastAsia" w:ascii="仿宋" w:hAnsi="仿宋" w:eastAsia="仿宋" w:cs="仿宋"/>
          <w:color w:val="484848"/>
          <w:spacing w:val="0"/>
          <w:sz w:val="24"/>
          <w:szCs w:val="24"/>
          <w:highlight w:val="none"/>
        </w:rPr>
        <w:t>  临床研究管理委员会由医疗卫生机构</w:t>
      </w:r>
      <w:r>
        <w:rPr>
          <w:rFonts w:hint="eastAsia" w:ascii="仿宋" w:hAnsi="仿宋" w:eastAsia="仿宋" w:cs="仿宋"/>
          <w:color w:val="484848"/>
          <w:spacing w:val="0"/>
          <w:sz w:val="24"/>
          <w:szCs w:val="24"/>
          <w:highlight w:val="none"/>
        </w:rPr>
        <w:t>相关负责人</w:t>
      </w:r>
      <w:r>
        <w:rPr>
          <w:rFonts w:hint="eastAsia" w:ascii="仿宋" w:hAnsi="仿宋" w:eastAsia="仿宋" w:cs="仿宋"/>
          <w:color w:val="484848"/>
          <w:spacing w:val="0"/>
          <w:sz w:val="24"/>
          <w:szCs w:val="24"/>
          <w:highlight w:val="none"/>
        </w:rPr>
        <w:t>、</w:t>
      </w:r>
      <w:r>
        <w:rPr>
          <w:rFonts w:hint="eastAsia" w:ascii="仿宋" w:hAnsi="仿宋" w:eastAsia="仿宋" w:cs="仿宋"/>
          <w:color w:val="484848"/>
          <w:spacing w:val="0"/>
          <w:sz w:val="24"/>
          <w:szCs w:val="24"/>
          <w:highlight w:val="none"/>
        </w:rPr>
        <w:t>相关职能部门</w:t>
      </w:r>
      <w:r>
        <w:rPr>
          <w:rFonts w:hint="eastAsia" w:ascii="仿宋" w:hAnsi="仿宋" w:eastAsia="仿宋" w:cs="仿宋"/>
          <w:color w:val="484848"/>
          <w:spacing w:val="0"/>
          <w:sz w:val="24"/>
          <w:szCs w:val="24"/>
          <w:highlight w:val="none"/>
        </w:rPr>
        <w:t>负责人和临床</w:t>
      </w:r>
      <w:r>
        <w:rPr>
          <w:rFonts w:hint="eastAsia" w:ascii="仿宋" w:hAnsi="仿宋" w:eastAsia="仿宋" w:cs="仿宋"/>
          <w:color w:val="484848"/>
          <w:spacing w:val="0"/>
          <w:sz w:val="24"/>
          <w:szCs w:val="24"/>
          <w:highlight w:val="none"/>
        </w:rPr>
        <w:t>研究专家代表</w:t>
      </w:r>
      <w:r>
        <w:rPr>
          <w:rFonts w:hint="eastAsia" w:ascii="仿宋" w:hAnsi="仿宋" w:eastAsia="仿宋" w:cs="仿宋"/>
          <w:color w:val="484848"/>
          <w:spacing w:val="0"/>
          <w:sz w:val="24"/>
          <w:szCs w:val="24"/>
          <w:highlight w:val="none"/>
        </w:rPr>
        <w:t>组成，负责医疗卫生机构临床研究的协调、服务、管理和监督。</w:t>
      </w:r>
    </w:p>
    <w:p w14:paraId="05201264">
      <w:pPr>
        <w:pStyle w:val="4"/>
        <w:keepNext w:val="0"/>
        <w:keepLines w:val="0"/>
        <w:widowControl/>
        <w:suppressLineNumbers w:val="0"/>
        <w:spacing w:after="0" w:afterAutospacing="0" w:line="23" w:lineRule="atLeast"/>
        <w:ind w:left="0" w:firstLine="420"/>
        <w:rPr>
          <w:rFonts w:hint="eastAsia" w:ascii="微软雅黑" w:hAnsi="微软雅黑" w:eastAsia="微软雅黑" w:cs="微软雅黑"/>
          <w:color w:val="484848"/>
          <w:spacing w:val="0"/>
          <w:sz w:val="32"/>
          <w:szCs w:val="32"/>
          <w:highlight w:val="none"/>
        </w:rPr>
      </w:pPr>
      <w:r>
        <w:rPr>
          <w:rFonts w:hint="eastAsia" w:ascii="黑体" w:hAnsi="宋体" w:eastAsia="黑体" w:cs="黑体"/>
          <w:color w:val="484848"/>
          <w:spacing w:val="0"/>
          <w:sz w:val="24"/>
          <w:szCs w:val="24"/>
          <w:highlight w:val="none"/>
        </w:rPr>
        <w:t>第十七条</w:t>
      </w:r>
      <w:r>
        <w:rPr>
          <w:rFonts w:hint="eastAsia" w:ascii="仿宋" w:hAnsi="仿宋" w:eastAsia="仿宋" w:cs="仿宋"/>
          <w:color w:val="484848"/>
          <w:spacing w:val="0"/>
          <w:sz w:val="24"/>
          <w:szCs w:val="24"/>
          <w:highlight w:val="none"/>
        </w:rPr>
        <w:t>  </w:t>
      </w:r>
      <w:r>
        <w:rPr>
          <w:rFonts w:hint="eastAsia" w:ascii="仿宋" w:hAnsi="仿宋" w:eastAsia="仿宋" w:cs="仿宋"/>
          <w:color w:val="484848"/>
          <w:spacing w:val="0"/>
          <w:sz w:val="24"/>
          <w:szCs w:val="24"/>
          <w:highlight w:val="none"/>
        </w:rPr>
        <w:t>临床研究管理部门</w:t>
      </w:r>
      <w:r>
        <w:rPr>
          <w:rFonts w:hint="eastAsia" w:ascii="仿宋" w:hAnsi="仿宋" w:eastAsia="仿宋" w:cs="仿宋"/>
          <w:color w:val="484848"/>
          <w:spacing w:val="0"/>
          <w:sz w:val="24"/>
          <w:szCs w:val="24"/>
          <w:highlight w:val="none"/>
        </w:rPr>
        <w:t>在</w:t>
      </w:r>
      <w:r>
        <w:rPr>
          <w:rFonts w:hint="eastAsia" w:ascii="仿宋" w:hAnsi="仿宋" w:eastAsia="仿宋" w:cs="仿宋"/>
          <w:color w:val="484848"/>
          <w:spacing w:val="0"/>
          <w:sz w:val="24"/>
          <w:szCs w:val="24"/>
          <w:highlight w:val="none"/>
        </w:rPr>
        <w:t>临床研究管理委员</w:t>
      </w:r>
      <w:r>
        <w:rPr>
          <w:rFonts w:hint="eastAsia" w:ascii="仿宋" w:hAnsi="仿宋" w:eastAsia="仿宋" w:cs="仿宋"/>
          <w:color w:val="484848"/>
          <w:spacing w:val="0"/>
          <w:sz w:val="24"/>
          <w:szCs w:val="24"/>
          <w:highlight w:val="none"/>
        </w:rPr>
        <w:t>会指导下，负责临床研究的</w:t>
      </w:r>
      <w:r>
        <w:rPr>
          <w:rFonts w:hint="eastAsia" w:ascii="仿宋" w:hAnsi="仿宋" w:eastAsia="仿宋" w:cs="仿宋"/>
          <w:color w:val="484848"/>
          <w:spacing w:val="0"/>
          <w:sz w:val="24"/>
          <w:szCs w:val="24"/>
          <w:highlight w:val="none"/>
        </w:rPr>
        <w:t>立项审查、过程管理、质量管理、合同管理、结项管理和档案管理等工作</w:t>
      </w:r>
      <w:r>
        <w:rPr>
          <w:rFonts w:hint="eastAsia" w:ascii="仿宋" w:hAnsi="仿宋" w:eastAsia="仿宋" w:cs="仿宋"/>
          <w:color w:val="484848"/>
          <w:spacing w:val="0"/>
          <w:sz w:val="24"/>
          <w:szCs w:val="24"/>
          <w:highlight w:val="none"/>
        </w:rPr>
        <w:t>，并</w:t>
      </w:r>
      <w:r>
        <w:rPr>
          <w:rFonts w:hint="eastAsia" w:ascii="仿宋" w:hAnsi="仿宋" w:eastAsia="仿宋" w:cs="仿宋"/>
          <w:color w:val="484848"/>
          <w:spacing w:val="0"/>
          <w:sz w:val="24"/>
          <w:szCs w:val="24"/>
          <w:highlight w:val="none"/>
        </w:rPr>
        <w:t>协调</w:t>
      </w:r>
      <w:r>
        <w:rPr>
          <w:rFonts w:hint="eastAsia" w:ascii="仿宋" w:hAnsi="仿宋" w:eastAsia="仿宋" w:cs="仿宋"/>
          <w:color w:val="484848"/>
          <w:spacing w:val="0"/>
          <w:sz w:val="24"/>
          <w:szCs w:val="24"/>
          <w:highlight w:val="none"/>
        </w:rPr>
        <w:t>科学性审查和伦理审查。</w:t>
      </w:r>
    </w:p>
    <w:p w14:paraId="125F08A2">
      <w:pPr>
        <w:pStyle w:val="4"/>
        <w:keepNext w:val="0"/>
        <w:keepLines w:val="0"/>
        <w:widowControl/>
        <w:suppressLineNumbers w:val="0"/>
        <w:spacing w:after="0" w:afterAutospacing="0" w:line="23" w:lineRule="atLeast"/>
        <w:ind w:left="0" w:firstLine="420"/>
        <w:rPr>
          <w:rFonts w:hint="eastAsia" w:ascii="微软雅黑" w:hAnsi="微软雅黑" w:eastAsia="微软雅黑" w:cs="微软雅黑"/>
          <w:color w:val="484848"/>
          <w:spacing w:val="0"/>
          <w:sz w:val="32"/>
          <w:szCs w:val="32"/>
          <w:highlight w:val="none"/>
        </w:rPr>
      </w:pPr>
      <w:r>
        <w:rPr>
          <w:rFonts w:hint="eastAsia" w:ascii="黑体" w:hAnsi="宋体" w:eastAsia="黑体" w:cs="黑体"/>
          <w:color w:val="484848"/>
          <w:spacing w:val="0"/>
          <w:sz w:val="24"/>
          <w:szCs w:val="24"/>
          <w:highlight w:val="none"/>
        </w:rPr>
        <w:t>第十八条</w:t>
      </w:r>
      <w:r>
        <w:rPr>
          <w:rFonts w:hint="eastAsia" w:ascii="仿宋" w:hAnsi="仿宋" w:eastAsia="仿宋" w:cs="仿宋"/>
          <w:color w:val="484848"/>
          <w:spacing w:val="0"/>
          <w:sz w:val="24"/>
          <w:szCs w:val="24"/>
          <w:highlight w:val="none"/>
        </w:rPr>
        <w:t>  医疗卫生机构应当</w:t>
      </w:r>
      <w:r>
        <w:rPr>
          <w:rFonts w:hint="eastAsia" w:ascii="仿宋" w:hAnsi="仿宋" w:eastAsia="仿宋" w:cs="仿宋"/>
          <w:color w:val="484848"/>
          <w:spacing w:val="0"/>
          <w:sz w:val="24"/>
          <w:szCs w:val="24"/>
          <w:highlight w:val="none"/>
        </w:rPr>
        <w:t>制定临床研究科学性审查管理制度、细则和工作程序</w:t>
      </w:r>
      <w:r>
        <w:rPr>
          <w:rFonts w:hint="eastAsia" w:ascii="仿宋" w:hAnsi="仿宋" w:eastAsia="仿宋" w:cs="仿宋"/>
          <w:color w:val="484848"/>
          <w:spacing w:val="0"/>
          <w:sz w:val="24"/>
          <w:szCs w:val="24"/>
          <w:highlight w:val="none"/>
        </w:rPr>
        <w:t>，</w:t>
      </w:r>
      <w:r>
        <w:rPr>
          <w:rFonts w:hint="eastAsia" w:ascii="仿宋" w:hAnsi="仿宋" w:eastAsia="仿宋" w:cs="仿宋"/>
          <w:color w:val="484848"/>
          <w:spacing w:val="0"/>
          <w:sz w:val="24"/>
          <w:szCs w:val="24"/>
          <w:highlight w:val="none"/>
        </w:rPr>
        <w:t>对干预性临床研究组织开展科学性审查</w:t>
      </w:r>
      <w:r>
        <w:rPr>
          <w:rFonts w:hint="eastAsia" w:ascii="仿宋" w:hAnsi="仿宋" w:eastAsia="仿宋" w:cs="仿宋"/>
          <w:color w:val="484848"/>
          <w:spacing w:val="0"/>
          <w:sz w:val="24"/>
          <w:szCs w:val="24"/>
          <w:highlight w:val="none"/>
        </w:rPr>
        <w:t>。</w:t>
      </w:r>
    </w:p>
    <w:p w14:paraId="00A06B9D">
      <w:pPr>
        <w:pStyle w:val="4"/>
        <w:keepNext w:val="0"/>
        <w:keepLines w:val="0"/>
        <w:widowControl/>
        <w:suppressLineNumbers w:val="0"/>
        <w:spacing w:after="0" w:afterAutospacing="0" w:line="23" w:lineRule="atLeast"/>
        <w:ind w:left="0" w:firstLine="420"/>
        <w:rPr>
          <w:rFonts w:hint="eastAsia" w:ascii="微软雅黑" w:hAnsi="微软雅黑" w:eastAsia="微软雅黑" w:cs="微软雅黑"/>
          <w:color w:val="484848"/>
          <w:spacing w:val="0"/>
          <w:sz w:val="32"/>
          <w:szCs w:val="32"/>
          <w:highlight w:val="none"/>
        </w:rPr>
      </w:pPr>
      <w:r>
        <w:rPr>
          <w:rFonts w:hint="eastAsia" w:ascii="黑体" w:hAnsi="宋体" w:eastAsia="黑体" w:cs="黑体"/>
          <w:color w:val="484848"/>
          <w:spacing w:val="0"/>
          <w:sz w:val="24"/>
          <w:szCs w:val="24"/>
          <w:highlight w:val="none"/>
        </w:rPr>
        <w:t>第十九条</w:t>
      </w:r>
      <w:r>
        <w:rPr>
          <w:rFonts w:hint="eastAsia" w:ascii="仿宋" w:hAnsi="仿宋" w:eastAsia="仿宋" w:cs="仿宋"/>
          <w:color w:val="484848"/>
          <w:spacing w:val="0"/>
          <w:sz w:val="24"/>
          <w:szCs w:val="24"/>
          <w:highlight w:val="none"/>
        </w:rPr>
        <w:t>  医疗卫生机构应当按照《涉及人的生物医学研究伦理审查办法》《涉及人的生命科学和医学研究伦理审查办法》要求，建立医疗卫生机构</w:t>
      </w:r>
      <w:r>
        <w:rPr>
          <w:rFonts w:hint="eastAsia" w:ascii="仿宋" w:hAnsi="仿宋" w:eastAsia="仿宋" w:cs="仿宋"/>
          <w:color w:val="484848"/>
          <w:spacing w:val="0"/>
          <w:sz w:val="24"/>
          <w:szCs w:val="24"/>
          <w:highlight w:val="none"/>
        </w:rPr>
        <w:t>伦理（审查）委员会</w:t>
      </w:r>
      <w:r>
        <w:rPr>
          <w:rFonts w:hint="eastAsia" w:ascii="仿宋" w:hAnsi="仿宋" w:eastAsia="仿宋" w:cs="仿宋"/>
          <w:color w:val="484848"/>
          <w:spacing w:val="0"/>
          <w:sz w:val="24"/>
          <w:szCs w:val="24"/>
          <w:highlight w:val="none"/>
        </w:rPr>
        <w:t>，健全工作制度，提供工作条件，保障伦理（审查）委员会</w:t>
      </w:r>
      <w:r>
        <w:rPr>
          <w:rFonts w:hint="eastAsia" w:ascii="仿宋" w:hAnsi="仿宋" w:eastAsia="仿宋" w:cs="仿宋"/>
          <w:color w:val="484848"/>
          <w:spacing w:val="0"/>
          <w:sz w:val="24"/>
          <w:szCs w:val="24"/>
          <w:highlight w:val="none"/>
        </w:rPr>
        <w:t>独立开展伦理审查</w:t>
      </w:r>
      <w:r>
        <w:rPr>
          <w:rFonts w:hint="eastAsia" w:ascii="仿宋" w:hAnsi="仿宋" w:eastAsia="仿宋" w:cs="仿宋"/>
          <w:color w:val="484848"/>
          <w:spacing w:val="0"/>
          <w:sz w:val="24"/>
          <w:szCs w:val="24"/>
          <w:highlight w:val="none"/>
        </w:rPr>
        <w:t>。</w:t>
      </w:r>
    </w:p>
    <w:p w14:paraId="69F6A7CD">
      <w:pPr>
        <w:pStyle w:val="4"/>
        <w:keepNext w:val="0"/>
        <w:keepLines w:val="0"/>
        <w:widowControl/>
        <w:suppressLineNumbers w:val="0"/>
        <w:spacing w:after="0" w:afterAutospacing="0" w:line="23" w:lineRule="atLeast"/>
        <w:ind w:left="0" w:firstLine="420"/>
        <w:rPr>
          <w:rFonts w:hint="eastAsia" w:ascii="仿宋" w:hAnsi="仿宋" w:eastAsia="仿宋" w:cs="仿宋"/>
          <w:color w:val="484848"/>
          <w:spacing w:val="0"/>
          <w:sz w:val="32"/>
          <w:szCs w:val="32"/>
          <w:highlight w:val="none"/>
        </w:rPr>
      </w:pPr>
      <w:r>
        <w:rPr>
          <w:rFonts w:hint="eastAsia" w:ascii="仿宋" w:hAnsi="仿宋" w:eastAsia="仿宋" w:cs="仿宋"/>
          <w:color w:val="484848"/>
          <w:spacing w:val="0"/>
          <w:sz w:val="24"/>
          <w:szCs w:val="24"/>
          <w:highlight w:val="none"/>
        </w:rPr>
        <w:t> </w:t>
      </w:r>
    </w:p>
    <w:p w14:paraId="366BB57C">
      <w:pPr>
        <w:pStyle w:val="4"/>
        <w:keepNext w:val="0"/>
        <w:keepLines w:val="0"/>
        <w:widowControl/>
        <w:suppressLineNumbers w:val="0"/>
        <w:spacing w:after="0" w:afterAutospacing="0" w:line="23" w:lineRule="atLeast"/>
        <w:jc w:val="center"/>
        <w:rPr>
          <w:rFonts w:hint="eastAsia" w:ascii="微软雅黑" w:hAnsi="微软雅黑" w:eastAsia="微软雅黑" w:cs="微软雅黑"/>
          <w:color w:val="484848"/>
          <w:spacing w:val="0"/>
          <w:sz w:val="32"/>
          <w:szCs w:val="32"/>
          <w:highlight w:val="none"/>
        </w:rPr>
      </w:pPr>
      <w:r>
        <w:rPr>
          <w:rFonts w:hint="eastAsia" w:ascii="黑体" w:hAnsi="宋体" w:eastAsia="黑体" w:cs="黑体"/>
          <w:color w:val="484848"/>
          <w:spacing w:val="0"/>
          <w:sz w:val="24"/>
          <w:szCs w:val="24"/>
          <w:highlight w:val="none"/>
        </w:rPr>
        <w:t>第四章  立项管理</w:t>
      </w:r>
    </w:p>
    <w:p w14:paraId="3F0984C2">
      <w:pPr>
        <w:pStyle w:val="4"/>
        <w:keepNext w:val="0"/>
        <w:keepLines w:val="0"/>
        <w:widowControl/>
        <w:suppressLineNumbers w:val="0"/>
        <w:spacing w:after="0" w:afterAutospacing="0" w:line="23" w:lineRule="atLeast"/>
        <w:ind w:left="0" w:firstLine="420"/>
        <w:rPr>
          <w:rFonts w:hint="eastAsia" w:ascii="微软雅黑" w:hAnsi="微软雅黑" w:eastAsia="微软雅黑" w:cs="微软雅黑"/>
          <w:color w:val="484848"/>
          <w:spacing w:val="0"/>
          <w:sz w:val="32"/>
          <w:szCs w:val="32"/>
          <w:highlight w:val="none"/>
        </w:rPr>
      </w:pPr>
      <w:r>
        <w:rPr>
          <w:rFonts w:hint="eastAsia" w:ascii="黑体" w:hAnsi="宋体" w:eastAsia="黑体" w:cs="黑体"/>
          <w:color w:val="484848"/>
          <w:spacing w:val="0"/>
          <w:sz w:val="24"/>
          <w:szCs w:val="24"/>
          <w:highlight w:val="none"/>
        </w:rPr>
        <w:t>第二十条</w:t>
      </w:r>
      <w:r>
        <w:rPr>
          <w:rFonts w:hint="eastAsia" w:ascii="仿宋" w:hAnsi="仿宋" w:eastAsia="仿宋" w:cs="仿宋"/>
          <w:color w:val="484848"/>
          <w:spacing w:val="0"/>
          <w:sz w:val="24"/>
          <w:szCs w:val="24"/>
          <w:highlight w:val="none"/>
        </w:rPr>
        <w:t>  临床研究实行医疗卫生机构</w:t>
      </w:r>
      <w:r>
        <w:rPr>
          <w:rFonts w:hint="eastAsia" w:ascii="仿宋" w:hAnsi="仿宋" w:eastAsia="仿宋" w:cs="仿宋"/>
          <w:color w:val="484848"/>
          <w:spacing w:val="0"/>
          <w:sz w:val="24"/>
          <w:szCs w:val="24"/>
          <w:highlight w:val="none"/>
        </w:rPr>
        <w:t>立项制度</w:t>
      </w:r>
      <w:r>
        <w:rPr>
          <w:rFonts w:hint="eastAsia" w:ascii="仿宋" w:hAnsi="仿宋" w:eastAsia="仿宋" w:cs="仿宋"/>
          <w:color w:val="484848"/>
          <w:spacing w:val="0"/>
          <w:sz w:val="24"/>
          <w:szCs w:val="24"/>
          <w:highlight w:val="none"/>
        </w:rPr>
        <w:t>，未经医疗卫生机构批准立项的临床研究不得实施。</w:t>
      </w:r>
    </w:p>
    <w:p w14:paraId="2442FFD8">
      <w:pPr>
        <w:pStyle w:val="4"/>
        <w:keepNext w:val="0"/>
        <w:keepLines w:val="0"/>
        <w:widowControl/>
        <w:suppressLineNumbers w:val="0"/>
        <w:spacing w:after="0" w:afterAutospacing="0" w:line="23" w:lineRule="atLeast"/>
        <w:ind w:left="0" w:firstLine="420"/>
        <w:rPr>
          <w:rFonts w:hint="eastAsia" w:ascii="仿宋" w:hAnsi="仿宋" w:eastAsia="仿宋" w:cs="仿宋"/>
          <w:color w:val="484848"/>
          <w:spacing w:val="0"/>
          <w:sz w:val="32"/>
          <w:szCs w:val="32"/>
          <w:highlight w:val="none"/>
        </w:rPr>
      </w:pPr>
      <w:r>
        <w:rPr>
          <w:rFonts w:hint="eastAsia" w:ascii="仿宋" w:hAnsi="仿宋" w:eastAsia="仿宋" w:cs="仿宋"/>
          <w:color w:val="484848"/>
          <w:spacing w:val="0"/>
          <w:sz w:val="24"/>
          <w:szCs w:val="24"/>
          <w:highlight w:val="none"/>
        </w:rPr>
        <w:t>根据法律法规要求，</w:t>
      </w:r>
      <w:r>
        <w:rPr>
          <w:rFonts w:hint="eastAsia" w:ascii="仿宋" w:hAnsi="仿宋" w:eastAsia="仿宋" w:cs="仿宋"/>
          <w:color w:val="484848"/>
          <w:spacing w:val="0"/>
          <w:sz w:val="24"/>
          <w:szCs w:val="24"/>
          <w:highlight w:val="none"/>
        </w:rPr>
        <w:t>临床研究涉及行政审批、备案等法定事项但未依法办理的</w:t>
      </w:r>
      <w:r>
        <w:rPr>
          <w:rFonts w:hint="eastAsia" w:ascii="仿宋" w:hAnsi="仿宋" w:eastAsia="仿宋" w:cs="仿宋"/>
          <w:color w:val="484848"/>
          <w:spacing w:val="0"/>
          <w:sz w:val="24"/>
          <w:szCs w:val="24"/>
          <w:highlight w:val="none"/>
        </w:rPr>
        <w:t>，医疗卫生机构不得批准研究者开展临床研究。</w:t>
      </w:r>
    </w:p>
    <w:p w14:paraId="5B8BF53F">
      <w:pPr>
        <w:pStyle w:val="4"/>
        <w:keepNext w:val="0"/>
        <w:keepLines w:val="0"/>
        <w:widowControl/>
        <w:suppressLineNumbers w:val="0"/>
        <w:spacing w:after="0" w:afterAutospacing="0" w:line="23" w:lineRule="atLeast"/>
        <w:ind w:left="0" w:firstLine="420"/>
        <w:rPr>
          <w:rFonts w:hint="eastAsia" w:ascii="微软雅黑" w:hAnsi="微软雅黑" w:eastAsia="微软雅黑" w:cs="微软雅黑"/>
          <w:color w:val="484848"/>
          <w:spacing w:val="0"/>
          <w:sz w:val="32"/>
          <w:szCs w:val="32"/>
          <w:highlight w:val="none"/>
        </w:rPr>
      </w:pPr>
      <w:r>
        <w:rPr>
          <w:rFonts w:hint="eastAsia" w:ascii="黑体" w:hAnsi="宋体" w:eastAsia="黑体" w:cs="黑体"/>
          <w:color w:val="484848"/>
          <w:spacing w:val="0"/>
          <w:sz w:val="24"/>
          <w:szCs w:val="24"/>
          <w:highlight w:val="none"/>
        </w:rPr>
        <w:t>第二十一条</w:t>
      </w:r>
      <w:r>
        <w:rPr>
          <w:rFonts w:hint="eastAsia" w:ascii="仿宋" w:hAnsi="仿宋" w:eastAsia="仿宋" w:cs="仿宋"/>
          <w:color w:val="484848"/>
          <w:spacing w:val="0"/>
          <w:sz w:val="24"/>
          <w:szCs w:val="24"/>
          <w:highlight w:val="none"/>
        </w:rPr>
        <w:t>  主要研究者应当</w:t>
      </w:r>
      <w:r>
        <w:rPr>
          <w:rFonts w:hint="eastAsia" w:ascii="仿宋" w:hAnsi="仿宋" w:eastAsia="仿宋" w:cs="仿宋"/>
          <w:color w:val="484848"/>
          <w:spacing w:val="0"/>
          <w:sz w:val="24"/>
          <w:szCs w:val="24"/>
          <w:highlight w:val="none"/>
        </w:rPr>
        <w:t>制定临床研究方案</w:t>
      </w:r>
      <w:r>
        <w:rPr>
          <w:rFonts w:hint="eastAsia" w:ascii="仿宋" w:hAnsi="仿宋" w:eastAsia="仿宋" w:cs="仿宋"/>
          <w:color w:val="484848"/>
          <w:spacing w:val="0"/>
          <w:sz w:val="24"/>
          <w:szCs w:val="24"/>
          <w:highlight w:val="none"/>
        </w:rPr>
        <w:t>，并按照要求向医疗卫生机构临床研究管理部门提交临床研究方案和相关资料，接受</w:t>
      </w:r>
      <w:r>
        <w:rPr>
          <w:rFonts w:hint="eastAsia" w:ascii="仿宋" w:hAnsi="仿宋" w:eastAsia="仿宋" w:cs="仿宋"/>
          <w:color w:val="484848"/>
          <w:spacing w:val="0"/>
          <w:sz w:val="24"/>
          <w:szCs w:val="24"/>
          <w:highlight w:val="none"/>
        </w:rPr>
        <w:t>全程管理</w:t>
      </w:r>
      <w:r>
        <w:rPr>
          <w:rFonts w:hint="eastAsia" w:ascii="仿宋" w:hAnsi="仿宋" w:eastAsia="仿宋" w:cs="仿宋"/>
          <w:color w:val="484848"/>
          <w:spacing w:val="0"/>
          <w:sz w:val="24"/>
          <w:szCs w:val="24"/>
          <w:highlight w:val="none"/>
        </w:rPr>
        <w:t>。</w:t>
      </w:r>
    </w:p>
    <w:p w14:paraId="583EF838">
      <w:pPr>
        <w:pStyle w:val="4"/>
        <w:keepNext w:val="0"/>
        <w:keepLines w:val="0"/>
        <w:widowControl/>
        <w:suppressLineNumbers w:val="0"/>
        <w:spacing w:after="0" w:afterAutospacing="0" w:line="23" w:lineRule="atLeast"/>
        <w:ind w:left="0" w:firstLine="420"/>
        <w:rPr>
          <w:rFonts w:hint="eastAsia" w:ascii="微软雅黑" w:hAnsi="微软雅黑" w:eastAsia="微软雅黑" w:cs="微软雅黑"/>
          <w:color w:val="484848"/>
          <w:spacing w:val="0"/>
          <w:sz w:val="32"/>
          <w:szCs w:val="32"/>
          <w:highlight w:val="none"/>
        </w:rPr>
      </w:pPr>
      <w:r>
        <w:rPr>
          <w:rFonts w:hint="eastAsia" w:ascii="黑体" w:hAnsi="宋体" w:eastAsia="黑体" w:cs="黑体"/>
          <w:color w:val="484848"/>
          <w:spacing w:val="0"/>
          <w:sz w:val="24"/>
          <w:szCs w:val="24"/>
          <w:highlight w:val="none"/>
        </w:rPr>
        <w:t>第二十二条</w:t>
      </w:r>
      <w:r>
        <w:rPr>
          <w:rFonts w:hint="eastAsia" w:ascii="仿宋" w:hAnsi="仿宋" w:eastAsia="仿宋" w:cs="仿宋"/>
          <w:color w:val="484848"/>
          <w:spacing w:val="0"/>
          <w:sz w:val="24"/>
          <w:szCs w:val="24"/>
          <w:highlight w:val="none"/>
        </w:rPr>
        <w:t>  医疗卫生机构应当按照</w:t>
      </w:r>
      <w:r>
        <w:rPr>
          <w:rFonts w:hint="eastAsia" w:ascii="仿宋" w:hAnsi="仿宋" w:eastAsia="仿宋" w:cs="仿宋"/>
          <w:color w:val="484848"/>
          <w:spacing w:val="0"/>
          <w:sz w:val="24"/>
          <w:szCs w:val="24"/>
          <w:highlight w:val="none"/>
        </w:rPr>
        <w:t>科学性审查制度、细则和工作程序，独立开展科学性审查</w:t>
      </w:r>
      <w:r>
        <w:rPr>
          <w:rFonts w:hint="eastAsia" w:ascii="仿宋" w:hAnsi="仿宋" w:eastAsia="仿宋" w:cs="仿宋"/>
          <w:color w:val="484848"/>
          <w:spacing w:val="0"/>
          <w:sz w:val="24"/>
          <w:szCs w:val="24"/>
          <w:highlight w:val="none"/>
        </w:rPr>
        <w:t>。</w:t>
      </w:r>
    </w:p>
    <w:p w14:paraId="53F1AA2E">
      <w:pPr>
        <w:pStyle w:val="4"/>
        <w:keepNext w:val="0"/>
        <w:keepLines w:val="0"/>
        <w:widowControl/>
        <w:suppressLineNumbers w:val="0"/>
        <w:spacing w:after="0" w:afterAutospacing="0" w:line="23" w:lineRule="atLeast"/>
        <w:ind w:left="0" w:firstLine="420"/>
        <w:rPr>
          <w:rFonts w:hint="eastAsia" w:ascii="仿宋" w:hAnsi="仿宋" w:eastAsia="仿宋" w:cs="仿宋"/>
          <w:color w:val="484848"/>
          <w:spacing w:val="0"/>
          <w:sz w:val="32"/>
          <w:szCs w:val="32"/>
          <w:highlight w:val="none"/>
        </w:rPr>
      </w:pPr>
      <w:r>
        <w:rPr>
          <w:rFonts w:hint="eastAsia" w:ascii="仿宋" w:hAnsi="仿宋" w:eastAsia="仿宋" w:cs="仿宋"/>
          <w:color w:val="484848"/>
          <w:spacing w:val="0"/>
          <w:sz w:val="24"/>
          <w:szCs w:val="24"/>
          <w:highlight w:val="none"/>
        </w:rPr>
        <w:t>科学性审查的内容应当包括研究的合理性、必要性、可行性，以及研究目的、研究假设、研究方法、干预措施、研究终点、研究安全性、样本量等。</w:t>
      </w:r>
    </w:p>
    <w:p w14:paraId="7B99AC68">
      <w:pPr>
        <w:pStyle w:val="4"/>
        <w:keepNext w:val="0"/>
        <w:keepLines w:val="0"/>
        <w:widowControl/>
        <w:suppressLineNumbers w:val="0"/>
        <w:spacing w:after="0" w:afterAutospacing="0" w:line="23" w:lineRule="atLeast"/>
        <w:ind w:left="0" w:firstLine="420"/>
        <w:rPr>
          <w:rFonts w:hint="eastAsia" w:ascii="仿宋" w:hAnsi="仿宋" w:eastAsia="仿宋" w:cs="仿宋"/>
          <w:color w:val="484848"/>
          <w:spacing w:val="0"/>
          <w:sz w:val="32"/>
          <w:szCs w:val="32"/>
          <w:highlight w:val="none"/>
        </w:rPr>
      </w:pPr>
      <w:r>
        <w:rPr>
          <w:rFonts w:hint="eastAsia" w:ascii="仿宋" w:hAnsi="仿宋" w:eastAsia="仿宋" w:cs="仿宋"/>
          <w:color w:val="484848"/>
          <w:spacing w:val="0"/>
          <w:sz w:val="24"/>
          <w:szCs w:val="24"/>
          <w:highlight w:val="none"/>
        </w:rPr>
        <w:t>科学性审查的专家应覆盖临床研究所属专业领域和研究方法学领域。干预性研究的科学性审查一般应当有医疗卫生机构外专家参加。</w:t>
      </w:r>
    </w:p>
    <w:p w14:paraId="154099A6">
      <w:pPr>
        <w:pStyle w:val="4"/>
        <w:keepNext w:val="0"/>
        <w:keepLines w:val="0"/>
        <w:widowControl/>
        <w:suppressLineNumbers w:val="0"/>
        <w:spacing w:after="0" w:afterAutospacing="0" w:line="23" w:lineRule="atLeast"/>
        <w:ind w:left="0" w:firstLine="420"/>
        <w:rPr>
          <w:rFonts w:hint="eastAsia" w:ascii="微软雅黑" w:hAnsi="微软雅黑" w:eastAsia="微软雅黑" w:cs="微软雅黑"/>
          <w:color w:val="484848"/>
          <w:spacing w:val="0"/>
          <w:sz w:val="32"/>
          <w:szCs w:val="32"/>
          <w:highlight w:val="none"/>
        </w:rPr>
      </w:pPr>
      <w:r>
        <w:rPr>
          <w:rFonts w:hint="eastAsia" w:ascii="黑体" w:hAnsi="宋体" w:eastAsia="黑体" w:cs="黑体"/>
          <w:color w:val="484848"/>
          <w:spacing w:val="0"/>
          <w:sz w:val="24"/>
          <w:szCs w:val="24"/>
          <w:highlight w:val="none"/>
        </w:rPr>
        <w:t>第二十三条</w:t>
      </w:r>
      <w:r>
        <w:rPr>
          <w:rFonts w:hint="eastAsia" w:ascii="仿宋" w:hAnsi="仿宋" w:eastAsia="仿宋" w:cs="仿宋"/>
          <w:color w:val="484848"/>
          <w:spacing w:val="0"/>
          <w:sz w:val="24"/>
          <w:szCs w:val="24"/>
          <w:highlight w:val="none"/>
        </w:rPr>
        <w:t>  医疗卫生机构伦理（审查）委员会按照工作制度，对临床研究</w:t>
      </w:r>
      <w:r>
        <w:rPr>
          <w:rFonts w:hint="eastAsia" w:ascii="仿宋" w:hAnsi="仿宋" w:eastAsia="仿宋" w:cs="仿宋"/>
          <w:color w:val="484848"/>
          <w:spacing w:val="0"/>
          <w:sz w:val="24"/>
          <w:szCs w:val="24"/>
          <w:highlight w:val="none"/>
        </w:rPr>
        <w:t>独立开展伦理审查，确保临床研究符合伦理规范。</w:t>
      </w:r>
    </w:p>
    <w:p w14:paraId="4D3C7245">
      <w:pPr>
        <w:pStyle w:val="4"/>
        <w:keepNext w:val="0"/>
        <w:keepLines w:val="0"/>
        <w:widowControl/>
        <w:suppressLineNumbers w:val="0"/>
        <w:spacing w:after="0" w:afterAutospacing="0" w:line="23" w:lineRule="atLeast"/>
        <w:ind w:left="0" w:firstLine="420"/>
        <w:rPr>
          <w:rFonts w:hint="eastAsia" w:ascii="微软雅黑" w:hAnsi="微软雅黑" w:eastAsia="微软雅黑" w:cs="微软雅黑"/>
          <w:color w:val="484848"/>
          <w:spacing w:val="0"/>
          <w:sz w:val="32"/>
          <w:szCs w:val="32"/>
          <w:highlight w:val="none"/>
        </w:rPr>
      </w:pPr>
      <w:r>
        <w:rPr>
          <w:rFonts w:hint="eastAsia" w:ascii="黑体" w:hAnsi="宋体" w:eastAsia="黑体" w:cs="黑体"/>
          <w:color w:val="484848"/>
          <w:spacing w:val="0"/>
          <w:sz w:val="24"/>
          <w:szCs w:val="24"/>
          <w:highlight w:val="none"/>
        </w:rPr>
        <w:t>第二十四条</w:t>
      </w:r>
      <w:r>
        <w:rPr>
          <w:rFonts w:hint="eastAsia" w:ascii="仿宋" w:hAnsi="仿宋" w:eastAsia="仿宋" w:cs="仿宋"/>
          <w:color w:val="484848"/>
          <w:spacing w:val="0"/>
          <w:sz w:val="24"/>
          <w:szCs w:val="24"/>
          <w:highlight w:val="none"/>
        </w:rPr>
        <w:t>  临床研究管理部门应当对提交的材料进行审核。有以下情形之一的，</w:t>
      </w:r>
      <w:r>
        <w:rPr>
          <w:rFonts w:hint="eastAsia" w:ascii="仿宋" w:hAnsi="仿宋" w:eastAsia="仿宋" w:cs="仿宋"/>
          <w:color w:val="484848"/>
          <w:spacing w:val="0"/>
          <w:sz w:val="24"/>
          <w:szCs w:val="24"/>
          <w:highlight w:val="none"/>
        </w:rPr>
        <w:t>不予立项</w:t>
      </w:r>
      <w:r>
        <w:rPr>
          <w:rFonts w:hint="eastAsia" w:ascii="仿宋" w:hAnsi="仿宋" w:eastAsia="仿宋" w:cs="仿宋"/>
          <w:color w:val="484848"/>
          <w:spacing w:val="0"/>
          <w:sz w:val="24"/>
          <w:szCs w:val="24"/>
          <w:highlight w:val="none"/>
        </w:rPr>
        <w:t>：</w:t>
      </w:r>
    </w:p>
    <w:p w14:paraId="646C1AF0">
      <w:pPr>
        <w:pStyle w:val="4"/>
        <w:keepNext w:val="0"/>
        <w:keepLines w:val="0"/>
        <w:widowControl/>
        <w:suppressLineNumbers w:val="0"/>
        <w:spacing w:after="0" w:afterAutospacing="0" w:line="23" w:lineRule="atLeast"/>
        <w:ind w:left="0" w:firstLine="420"/>
        <w:rPr>
          <w:rFonts w:hint="eastAsia" w:ascii="仿宋" w:hAnsi="仿宋" w:eastAsia="仿宋" w:cs="仿宋"/>
          <w:color w:val="484848"/>
          <w:spacing w:val="0"/>
          <w:sz w:val="32"/>
          <w:szCs w:val="32"/>
          <w:highlight w:val="none"/>
        </w:rPr>
      </w:pPr>
      <w:r>
        <w:rPr>
          <w:rFonts w:hint="eastAsia" w:ascii="仿宋" w:hAnsi="仿宋" w:eastAsia="仿宋" w:cs="仿宋"/>
          <w:color w:val="484848"/>
          <w:spacing w:val="0"/>
          <w:sz w:val="24"/>
          <w:szCs w:val="24"/>
          <w:highlight w:val="none"/>
        </w:rPr>
        <w:t>（一）不符合法律、法规、规章及规范性文件要求的；</w:t>
      </w:r>
    </w:p>
    <w:p w14:paraId="0F9031DD">
      <w:pPr>
        <w:pStyle w:val="4"/>
        <w:keepNext w:val="0"/>
        <w:keepLines w:val="0"/>
        <w:widowControl/>
        <w:suppressLineNumbers w:val="0"/>
        <w:spacing w:after="0" w:afterAutospacing="0" w:line="23" w:lineRule="atLeast"/>
        <w:ind w:left="0" w:firstLine="420"/>
        <w:rPr>
          <w:rFonts w:hint="eastAsia" w:ascii="仿宋" w:hAnsi="仿宋" w:eastAsia="仿宋" w:cs="仿宋"/>
          <w:color w:val="484848"/>
          <w:spacing w:val="0"/>
          <w:sz w:val="32"/>
          <w:szCs w:val="32"/>
          <w:highlight w:val="none"/>
        </w:rPr>
      </w:pPr>
      <w:r>
        <w:rPr>
          <w:rFonts w:hint="eastAsia" w:ascii="仿宋" w:hAnsi="仿宋" w:eastAsia="仿宋" w:cs="仿宋"/>
          <w:color w:val="484848"/>
          <w:spacing w:val="0"/>
          <w:sz w:val="24"/>
          <w:szCs w:val="24"/>
          <w:highlight w:val="none"/>
        </w:rPr>
        <w:t>（二）干预性研究未通过科学性审查的；</w:t>
      </w:r>
    </w:p>
    <w:p w14:paraId="0FCF2E11">
      <w:pPr>
        <w:pStyle w:val="4"/>
        <w:keepNext w:val="0"/>
        <w:keepLines w:val="0"/>
        <w:widowControl/>
        <w:suppressLineNumbers w:val="0"/>
        <w:spacing w:after="0" w:afterAutospacing="0" w:line="23" w:lineRule="atLeast"/>
        <w:ind w:left="0" w:firstLine="420"/>
        <w:rPr>
          <w:rFonts w:hint="eastAsia" w:ascii="仿宋" w:hAnsi="仿宋" w:eastAsia="仿宋" w:cs="仿宋"/>
          <w:color w:val="484848"/>
          <w:spacing w:val="0"/>
          <w:sz w:val="32"/>
          <w:szCs w:val="32"/>
          <w:highlight w:val="none"/>
        </w:rPr>
      </w:pPr>
      <w:r>
        <w:rPr>
          <w:rFonts w:hint="eastAsia" w:ascii="仿宋" w:hAnsi="仿宋" w:eastAsia="仿宋" w:cs="仿宋"/>
          <w:color w:val="484848"/>
          <w:spacing w:val="0"/>
          <w:sz w:val="24"/>
          <w:szCs w:val="24"/>
          <w:highlight w:val="none"/>
        </w:rPr>
        <w:t>（三）</w:t>
      </w:r>
      <w:r>
        <w:rPr>
          <w:rFonts w:hint="eastAsia" w:ascii="仿宋" w:hAnsi="仿宋" w:eastAsia="仿宋" w:cs="仿宋"/>
          <w:color w:val="484848"/>
          <w:spacing w:val="0"/>
          <w:sz w:val="24"/>
          <w:szCs w:val="24"/>
          <w:highlight w:val="none"/>
        </w:rPr>
        <w:t>伦理审查不符合要求的</w:t>
      </w:r>
      <w:r>
        <w:rPr>
          <w:rFonts w:hint="eastAsia" w:ascii="仿宋" w:hAnsi="仿宋" w:eastAsia="仿宋" w:cs="仿宋"/>
          <w:color w:val="484848"/>
          <w:spacing w:val="0"/>
          <w:sz w:val="24"/>
          <w:szCs w:val="24"/>
          <w:highlight w:val="none"/>
        </w:rPr>
        <w:t>；</w:t>
      </w:r>
    </w:p>
    <w:p w14:paraId="27F56231">
      <w:pPr>
        <w:pStyle w:val="4"/>
        <w:keepNext w:val="0"/>
        <w:keepLines w:val="0"/>
        <w:widowControl/>
        <w:suppressLineNumbers w:val="0"/>
        <w:spacing w:after="0" w:afterAutospacing="0" w:line="23" w:lineRule="atLeast"/>
        <w:ind w:left="0" w:firstLine="420"/>
        <w:rPr>
          <w:rFonts w:hint="eastAsia" w:ascii="仿宋" w:hAnsi="仿宋" w:eastAsia="仿宋" w:cs="仿宋"/>
          <w:color w:val="484848"/>
          <w:spacing w:val="0"/>
          <w:sz w:val="32"/>
          <w:szCs w:val="32"/>
          <w:highlight w:val="none"/>
        </w:rPr>
      </w:pPr>
      <w:r>
        <w:rPr>
          <w:rFonts w:hint="eastAsia" w:ascii="仿宋" w:hAnsi="仿宋" w:eastAsia="仿宋" w:cs="仿宋"/>
          <w:color w:val="484848"/>
          <w:spacing w:val="0"/>
          <w:sz w:val="24"/>
          <w:szCs w:val="24"/>
          <w:highlight w:val="none"/>
        </w:rPr>
        <w:t>（四）违背科研诚信规范的；</w:t>
      </w:r>
    </w:p>
    <w:p w14:paraId="3CC4D2BC">
      <w:pPr>
        <w:pStyle w:val="4"/>
        <w:keepNext w:val="0"/>
        <w:keepLines w:val="0"/>
        <w:widowControl/>
        <w:suppressLineNumbers w:val="0"/>
        <w:spacing w:after="0" w:afterAutospacing="0" w:line="23" w:lineRule="atLeast"/>
        <w:ind w:left="0" w:firstLine="420"/>
        <w:rPr>
          <w:rFonts w:hint="eastAsia" w:ascii="仿宋" w:hAnsi="仿宋" w:eastAsia="仿宋" w:cs="仿宋"/>
          <w:color w:val="484848"/>
          <w:spacing w:val="0"/>
          <w:sz w:val="32"/>
          <w:szCs w:val="32"/>
          <w:highlight w:val="none"/>
        </w:rPr>
      </w:pPr>
      <w:r>
        <w:rPr>
          <w:rFonts w:hint="eastAsia" w:ascii="仿宋" w:hAnsi="仿宋" w:eastAsia="仿宋" w:cs="仿宋"/>
          <w:color w:val="484848"/>
          <w:spacing w:val="0"/>
          <w:sz w:val="24"/>
          <w:szCs w:val="24"/>
          <w:highlight w:val="none"/>
        </w:rPr>
        <w:t>（五）</w:t>
      </w:r>
      <w:r>
        <w:rPr>
          <w:rFonts w:hint="eastAsia" w:ascii="仿宋" w:hAnsi="仿宋" w:eastAsia="仿宋" w:cs="仿宋"/>
          <w:color w:val="484848"/>
          <w:spacing w:val="0"/>
          <w:sz w:val="24"/>
          <w:szCs w:val="24"/>
          <w:highlight w:val="none"/>
        </w:rPr>
        <w:t>研究前期准备</w:t>
      </w:r>
      <w:r>
        <w:rPr>
          <w:rFonts w:hint="eastAsia" w:ascii="仿宋" w:hAnsi="仿宋" w:eastAsia="仿宋" w:cs="仿宋"/>
          <w:color w:val="484848"/>
          <w:spacing w:val="0"/>
          <w:sz w:val="24"/>
          <w:szCs w:val="24"/>
          <w:highlight w:val="none"/>
        </w:rPr>
        <w:t>不足，临床研究时机尚不成熟的；</w:t>
      </w:r>
    </w:p>
    <w:p w14:paraId="7686A8C6">
      <w:pPr>
        <w:pStyle w:val="4"/>
        <w:keepNext w:val="0"/>
        <w:keepLines w:val="0"/>
        <w:widowControl/>
        <w:suppressLineNumbers w:val="0"/>
        <w:spacing w:after="0" w:afterAutospacing="0" w:line="23" w:lineRule="atLeast"/>
        <w:ind w:left="0" w:firstLine="420"/>
        <w:rPr>
          <w:rFonts w:hint="eastAsia" w:ascii="仿宋" w:hAnsi="仿宋" w:eastAsia="仿宋" w:cs="仿宋"/>
          <w:color w:val="484848"/>
          <w:spacing w:val="0"/>
          <w:sz w:val="32"/>
          <w:szCs w:val="32"/>
          <w:highlight w:val="none"/>
        </w:rPr>
      </w:pPr>
      <w:r>
        <w:rPr>
          <w:rFonts w:hint="eastAsia" w:ascii="仿宋" w:hAnsi="仿宋" w:eastAsia="仿宋" w:cs="仿宋"/>
          <w:color w:val="484848"/>
          <w:spacing w:val="0"/>
          <w:sz w:val="24"/>
          <w:szCs w:val="24"/>
          <w:highlight w:val="none"/>
        </w:rPr>
        <w:t>（六）临床研究</w:t>
      </w:r>
      <w:r>
        <w:rPr>
          <w:rFonts w:hint="eastAsia" w:ascii="仿宋" w:hAnsi="仿宋" w:eastAsia="仿宋" w:cs="仿宋"/>
          <w:color w:val="484848"/>
          <w:spacing w:val="0"/>
          <w:sz w:val="24"/>
          <w:szCs w:val="24"/>
          <w:highlight w:val="none"/>
        </w:rPr>
        <w:t>经费</w:t>
      </w:r>
      <w:r>
        <w:rPr>
          <w:rFonts w:hint="eastAsia" w:ascii="仿宋" w:hAnsi="仿宋" w:eastAsia="仿宋" w:cs="仿宋"/>
          <w:color w:val="484848"/>
          <w:spacing w:val="0"/>
          <w:sz w:val="24"/>
          <w:szCs w:val="24"/>
          <w:highlight w:val="none"/>
        </w:rPr>
        <w:t>不足以完成临床研究的；</w:t>
      </w:r>
    </w:p>
    <w:p w14:paraId="3E646FE2">
      <w:pPr>
        <w:pStyle w:val="4"/>
        <w:keepNext w:val="0"/>
        <w:keepLines w:val="0"/>
        <w:widowControl/>
        <w:suppressLineNumbers w:val="0"/>
        <w:spacing w:after="0" w:afterAutospacing="0" w:line="23" w:lineRule="atLeast"/>
        <w:ind w:left="0" w:firstLine="420"/>
        <w:rPr>
          <w:rFonts w:hint="eastAsia" w:ascii="仿宋" w:hAnsi="仿宋" w:eastAsia="仿宋" w:cs="仿宋"/>
          <w:color w:val="484848"/>
          <w:spacing w:val="0"/>
          <w:sz w:val="32"/>
          <w:szCs w:val="32"/>
          <w:highlight w:val="none"/>
        </w:rPr>
      </w:pPr>
      <w:r>
        <w:rPr>
          <w:rFonts w:hint="eastAsia" w:ascii="仿宋" w:hAnsi="仿宋" w:eastAsia="仿宋" w:cs="仿宋"/>
          <w:color w:val="484848"/>
          <w:spacing w:val="0"/>
          <w:sz w:val="24"/>
          <w:szCs w:val="24"/>
          <w:highlight w:val="none"/>
        </w:rPr>
        <w:t>（七）药品、器械等产品不符合使用规范的；</w:t>
      </w:r>
    </w:p>
    <w:p w14:paraId="64320657">
      <w:pPr>
        <w:pStyle w:val="4"/>
        <w:keepNext w:val="0"/>
        <w:keepLines w:val="0"/>
        <w:widowControl/>
        <w:suppressLineNumbers w:val="0"/>
        <w:spacing w:after="0" w:afterAutospacing="0" w:line="23" w:lineRule="atLeast"/>
        <w:ind w:left="0" w:firstLine="420"/>
        <w:rPr>
          <w:rFonts w:hint="eastAsia" w:ascii="仿宋" w:hAnsi="仿宋" w:eastAsia="仿宋" w:cs="仿宋"/>
          <w:color w:val="484848"/>
          <w:spacing w:val="0"/>
          <w:sz w:val="32"/>
          <w:szCs w:val="32"/>
          <w:highlight w:val="none"/>
        </w:rPr>
      </w:pPr>
      <w:r>
        <w:rPr>
          <w:rFonts w:hint="eastAsia" w:ascii="仿宋" w:hAnsi="仿宋" w:eastAsia="仿宋" w:cs="仿宋"/>
          <w:color w:val="484848"/>
          <w:spacing w:val="0"/>
          <w:sz w:val="24"/>
          <w:szCs w:val="24"/>
          <w:highlight w:val="none"/>
        </w:rPr>
        <w:t>（八）临床研究的安全风险超出实施医疗卫生机构和研究者可控范围的；</w:t>
      </w:r>
    </w:p>
    <w:p w14:paraId="3773FF30">
      <w:pPr>
        <w:pStyle w:val="4"/>
        <w:keepNext w:val="0"/>
        <w:keepLines w:val="0"/>
        <w:widowControl/>
        <w:suppressLineNumbers w:val="0"/>
        <w:spacing w:after="0" w:afterAutospacing="0" w:line="23" w:lineRule="atLeast"/>
        <w:ind w:left="0" w:firstLine="420"/>
        <w:rPr>
          <w:rFonts w:hint="eastAsia" w:ascii="仿宋" w:hAnsi="仿宋" w:eastAsia="仿宋" w:cs="仿宋"/>
          <w:color w:val="484848"/>
          <w:spacing w:val="0"/>
          <w:sz w:val="32"/>
          <w:szCs w:val="32"/>
          <w:highlight w:val="none"/>
        </w:rPr>
      </w:pPr>
      <w:r>
        <w:rPr>
          <w:rFonts w:hint="eastAsia" w:ascii="仿宋" w:hAnsi="仿宋" w:eastAsia="仿宋" w:cs="仿宋"/>
          <w:color w:val="484848"/>
          <w:spacing w:val="0"/>
          <w:sz w:val="24"/>
          <w:szCs w:val="24"/>
          <w:highlight w:val="none"/>
        </w:rPr>
        <w:t>（九）可能存在商业贿赂或其他不当利益关系的。</w:t>
      </w:r>
    </w:p>
    <w:p w14:paraId="02555F4F">
      <w:pPr>
        <w:pStyle w:val="4"/>
        <w:keepNext w:val="0"/>
        <w:keepLines w:val="0"/>
        <w:widowControl/>
        <w:suppressLineNumbers w:val="0"/>
        <w:spacing w:after="0" w:afterAutospacing="0" w:line="23" w:lineRule="atLeast"/>
        <w:ind w:left="0" w:firstLine="420"/>
        <w:rPr>
          <w:rFonts w:hint="eastAsia" w:ascii="仿宋" w:hAnsi="仿宋" w:eastAsia="仿宋" w:cs="仿宋"/>
          <w:color w:val="484848"/>
          <w:spacing w:val="0"/>
          <w:sz w:val="32"/>
          <w:szCs w:val="32"/>
          <w:highlight w:val="none"/>
        </w:rPr>
      </w:pPr>
      <w:r>
        <w:rPr>
          <w:rFonts w:hint="eastAsia" w:ascii="仿宋" w:hAnsi="仿宋" w:eastAsia="仿宋" w:cs="仿宋"/>
          <w:color w:val="484848"/>
          <w:spacing w:val="0"/>
          <w:sz w:val="24"/>
          <w:szCs w:val="24"/>
          <w:highlight w:val="none"/>
        </w:rPr>
        <w:t>研究者应当签署利益冲突声明并与研究方案等一并提交医疗卫生机构审查。</w:t>
      </w:r>
    </w:p>
    <w:p w14:paraId="5FA07C3B">
      <w:pPr>
        <w:pStyle w:val="4"/>
        <w:keepNext w:val="0"/>
        <w:keepLines w:val="0"/>
        <w:widowControl/>
        <w:suppressLineNumbers w:val="0"/>
        <w:spacing w:after="0" w:afterAutospacing="0" w:line="23" w:lineRule="atLeast"/>
        <w:ind w:left="0" w:firstLine="420"/>
        <w:rPr>
          <w:rFonts w:hint="eastAsia" w:ascii="微软雅黑" w:hAnsi="微软雅黑" w:eastAsia="微软雅黑" w:cs="微软雅黑"/>
          <w:color w:val="484848"/>
          <w:spacing w:val="0"/>
          <w:sz w:val="32"/>
          <w:szCs w:val="32"/>
          <w:highlight w:val="none"/>
        </w:rPr>
      </w:pPr>
      <w:r>
        <w:rPr>
          <w:rFonts w:hint="eastAsia" w:ascii="黑体" w:hAnsi="宋体" w:eastAsia="黑体" w:cs="黑体"/>
          <w:color w:val="484848"/>
          <w:spacing w:val="0"/>
          <w:sz w:val="24"/>
          <w:szCs w:val="24"/>
          <w:highlight w:val="none"/>
        </w:rPr>
        <w:t>第二十五条</w:t>
      </w:r>
      <w:r>
        <w:rPr>
          <w:rFonts w:hint="eastAsia" w:ascii="仿宋" w:hAnsi="仿宋" w:eastAsia="仿宋" w:cs="仿宋"/>
          <w:color w:val="484848"/>
          <w:spacing w:val="0"/>
          <w:sz w:val="24"/>
          <w:szCs w:val="24"/>
          <w:highlight w:val="none"/>
        </w:rPr>
        <w:t>  医疗卫生机构受其他机构委托、资助开展临床研究或者参与</w:t>
      </w:r>
      <w:r>
        <w:rPr>
          <w:rFonts w:hint="eastAsia" w:ascii="仿宋" w:hAnsi="仿宋" w:eastAsia="仿宋" w:cs="仿宋"/>
          <w:color w:val="484848"/>
          <w:spacing w:val="0"/>
          <w:sz w:val="24"/>
          <w:szCs w:val="24"/>
          <w:highlight w:val="none"/>
        </w:rPr>
        <w:t>多中心临床研究的</w:t>
      </w:r>
      <w:r>
        <w:rPr>
          <w:rFonts w:hint="eastAsia" w:ascii="仿宋" w:hAnsi="仿宋" w:eastAsia="仿宋" w:cs="仿宋"/>
          <w:color w:val="484848"/>
          <w:spacing w:val="0"/>
          <w:sz w:val="24"/>
          <w:szCs w:val="24"/>
          <w:highlight w:val="none"/>
        </w:rPr>
        <w:t>，应当</w:t>
      </w:r>
      <w:r>
        <w:rPr>
          <w:rFonts w:hint="eastAsia" w:ascii="仿宋" w:hAnsi="仿宋" w:eastAsia="仿宋" w:cs="仿宋"/>
          <w:color w:val="484848"/>
          <w:spacing w:val="0"/>
          <w:sz w:val="24"/>
          <w:szCs w:val="24"/>
          <w:highlight w:val="none"/>
        </w:rPr>
        <w:t>与委托、资助机构或多中心临床研究牵头机构签订临床研</w:t>
      </w:r>
      <w:r>
        <w:rPr>
          <w:rFonts w:hint="eastAsia" w:ascii="仿宋" w:hAnsi="仿宋" w:eastAsia="仿宋" w:cs="仿宋"/>
          <w:color w:val="484848"/>
          <w:spacing w:val="0"/>
          <w:sz w:val="24"/>
          <w:szCs w:val="24"/>
          <w:highlight w:val="none"/>
        </w:rPr>
        <w:t>究</w:t>
      </w:r>
      <w:r>
        <w:rPr>
          <w:rFonts w:hint="eastAsia" w:ascii="仿宋" w:hAnsi="仿宋" w:eastAsia="仿宋" w:cs="仿宋"/>
          <w:color w:val="484848"/>
          <w:spacing w:val="0"/>
          <w:sz w:val="24"/>
          <w:szCs w:val="24"/>
          <w:highlight w:val="none"/>
        </w:rPr>
        <w:t>协议</w:t>
      </w:r>
      <w:r>
        <w:rPr>
          <w:rFonts w:hint="eastAsia" w:ascii="仿宋" w:hAnsi="仿宋" w:eastAsia="仿宋" w:cs="仿宋"/>
          <w:color w:val="484848"/>
          <w:spacing w:val="0"/>
          <w:sz w:val="24"/>
          <w:szCs w:val="24"/>
          <w:highlight w:val="none"/>
        </w:rPr>
        <w:t>，明确各方权利、义务及责任分担等。</w:t>
      </w:r>
    </w:p>
    <w:p w14:paraId="4154F4D2">
      <w:pPr>
        <w:pStyle w:val="4"/>
        <w:keepNext w:val="0"/>
        <w:keepLines w:val="0"/>
        <w:widowControl/>
        <w:suppressLineNumbers w:val="0"/>
        <w:spacing w:after="0" w:afterAutospacing="0" w:line="23" w:lineRule="atLeast"/>
        <w:ind w:left="0" w:firstLine="420"/>
        <w:rPr>
          <w:rFonts w:hint="eastAsia" w:ascii="仿宋" w:hAnsi="仿宋" w:eastAsia="仿宋" w:cs="仿宋"/>
          <w:color w:val="484848"/>
          <w:spacing w:val="0"/>
          <w:sz w:val="32"/>
          <w:szCs w:val="32"/>
          <w:highlight w:val="none"/>
        </w:rPr>
      </w:pPr>
      <w:r>
        <w:rPr>
          <w:rFonts w:hint="eastAsia" w:ascii="仿宋" w:hAnsi="仿宋" w:eastAsia="仿宋" w:cs="仿宋"/>
          <w:color w:val="484848"/>
          <w:spacing w:val="0"/>
          <w:sz w:val="24"/>
          <w:szCs w:val="24"/>
          <w:highlight w:val="none"/>
        </w:rPr>
        <w:t>牵头机构对临床研究负主体责任，参与机构对本机构参与的临床研究内容负责。</w:t>
      </w:r>
    </w:p>
    <w:p w14:paraId="3541AB2D">
      <w:pPr>
        <w:pStyle w:val="4"/>
        <w:keepNext w:val="0"/>
        <w:keepLines w:val="0"/>
        <w:widowControl/>
        <w:suppressLineNumbers w:val="0"/>
        <w:spacing w:after="0" w:afterAutospacing="0" w:line="23" w:lineRule="atLeast"/>
        <w:ind w:left="0" w:firstLine="420"/>
        <w:rPr>
          <w:rFonts w:hint="eastAsia" w:ascii="仿宋" w:hAnsi="仿宋" w:eastAsia="仿宋" w:cs="仿宋"/>
          <w:color w:val="484848"/>
          <w:spacing w:val="0"/>
          <w:sz w:val="32"/>
          <w:szCs w:val="32"/>
          <w:highlight w:val="none"/>
        </w:rPr>
      </w:pPr>
      <w:r>
        <w:rPr>
          <w:rFonts w:hint="eastAsia" w:ascii="仿宋" w:hAnsi="仿宋" w:eastAsia="仿宋" w:cs="仿宋"/>
          <w:color w:val="484848"/>
          <w:spacing w:val="0"/>
          <w:sz w:val="24"/>
          <w:szCs w:val="24"/>
          <w:highlight w:val="none"/>
        </w:rPr>
        <w:t>参与机构应当根据自身情况对多中心研究中是否采用牵头机构科学性审查、伦理审查意见进行规定。</w:t>
      </w:r>
    </w:p>
    <w:p w14:paraId="727386EB">
      <w:pPr>
        <w:pStyle w:val="4"/>
        <w:keepNext w:val="0"/>
        <w:keepLines w:val="0"/>
        <w:widowControl/>
        <w:suppressLineNumbers w:val="0"/>
        <w:spacing w:after="0" w:afterAutospacing="0" w:line="23" w:lineRule="atLeast"/>
        <w:ind w:left="0" w:firstLine="420"/>
        <w:rPr>
          <w:rFonts w:hint="eastAsia" w:ascii="微软雅黑" w:hAnsi="微软雅黑" w:eastAsia="微软雅黑" w:cs="微软雅黑"/>
          <w:color w:val="484848"/>
          <w:spacing w:val="0"/>
          <w:sz w:val="32"/>
          <w:szCs w:val="32"/>
          <w:highlight w:val="none"/>
        </w:rPr>
      </w:pPr>
      <w:r>
        <w:rPr>
          <w:rFonts w:hint="eastAsia" w:ascii="黑体" w:hAnsi="宋体" w:eastAsia="黑体" w:cs="黑体"/>
          <w:color w:val="484848"/>
          <w:spacing w:val="0"/>
          <w:sz w:val="24"/>
          <w:szCs w:val="24"/>
          <w:highlight w:val="none"/>
        </w:rPr>
        <w:t>第二十六条</w:t>
      </w:r>
      <w:r>
        <w:rPr>
          <w:rFonts w:hint="eastAsia" w:ascii="仿宋" w:hAnsi="仿宋" w:eastAsia="仿宋" w:cs="仿宋"/>
          <w:color w:val="484848"/>
          <w:spacing w:val="0"/>
          <w:sz w:val="24"/>
          <w:szCs w:val="24"/>
          <w:highlight w:val="none"/>
        </w:rPr>
        <w:t>  在医疗卫生机构立项审核通过时，</w:t>
      </w:r>
      <w:r>
        <w:rPr>
          <w:rFonts w:hint="eastAsia" w:ascii="仿宋" w:hAnsi="仿宋" w:eastAsia="仿宋" w:cs="仿宋"/>
          <w:color w:val="484848"/>
          <w:spacing w:val="0"/>
          <w:sz w:val="24"/>
          <w:szCs w:val="24"/>
          <w:highlight w:val="none"/>
        </w:rPr>
        <w:t>临床研究</w:t>
      </w:r>
      <w:r>
        <w:rPr>
          <w:rFonts w:hint="eastAsia" w:ascii="仿宋" w:hAnsi="仿宋" w:eastAsia="仿宋" w:cs="仿宋"/>
          <w:color w:val="484848"/>
          <w:spacing w:val="0"/>
          <w:sz w:val="24"/>
          <w:szCs w:val="24"/>
          <w:highlight w:val="none"/>
        </w:rPr>
        <w:t>的有关信息应当在国家医学研究</w:t>
      </w:r>
      <w:r>
        <w:rPr>
          <w:rFonts w:hint="eastAsia" w:ascii="仿宋" w:hAnsi="仿宋" w:eastAsia="仿宋" w:cs="仿宋"/>
          <w:color w:val="484848"/>
          <w:spacing w:val="0"/>
          <w:sz w:val="24"/>
          <w:szCs w:val="24"/>
          <w:highlight w:val="none"/>
        </w:rPr>
        <w:t>登记备案信息系统</w:t>
      </w:r>
      <w:r>
        <w:rPr>
          <w:rFonts w:hint="eastAsia" w:ascii="仿宋" w:hAnsi="仿宋" w:eastAsia="仿宋" w:cs="仿宋"/>
          <w:color w:val="484848"/>
          <w:spacing w:val="0"/>
          <w:sz w:val="24"/>
          <w:szCs w:val="24"/>
          <w:highlight w:val="none"/>
        </w:rPr>
        <w:t>（以下简称系统）按要求完成上传。</w:t>
      </w:r>
      <w:r>
        <w:rPr>
          <w:rFonts w:hint="eastAsia" w:ascii="仿宋" w:hAnsi="仿宋" w:eastAsia="仿宋" w:cs="仿宋"/>
          <w:color w:val="484848"/>
          <w:spacing w:val="0"/>
          <w:sz w:val="24"/>
          <w:szCs w:val="24"/>
          <w:highlight w:val="none"/>
        </w:rPr>
        <w:t>鼓励</w:t>
      </w:r>
      <w:r>
        <w:rPr>
          <w:rFonts w:hint="eastAsia" w:ascii="仿宋" w:hAnsi="仿宋" w:eastAsia="仿宋" w:cs="仿宋"/>
          <w:color w:val="484848"/>
          <w:spacing w:val="0"/>
          <w:sz w:val="24"/>
          <w:szCs w:val="24"/>
          <w:highlight w:val="none"/>
        </w:rPr>
        <w:t>医疗卫生机构和研究者在临床研究提出、科学性审查、伦理审查、立项审核等</w:t>
      </w:r>
      <w:r>
        <w:rPr>
          <w:rFonts w:hint="eastAsia" w:ascii="仿宋" w:hAnsi="仿宋" w:eastAsia="仿宋" w:cs="仿宋"/>
          <w:color w:val="484848"/>
          <w:spacing w:val="0"/>
          <w:sz w:val="24"/>
          <w:szCs w:val="24"/>
          <w:highlight w:val="none"/>
        </w:rPr>
        <w:t>环节，实时在系统上传</w:t>
      </w:r>
      <w:r>
        <w:rPr>
          <w:rFonts w:hint="eastAsia" w:ascii="仿宋" w:hAnsi="仿宋" w:eastAsia="仿宋" w:cs="仿宋"/>
          <w:color w:val="484848"/>
          <w:spacing w:val="0"/>
          <w:sz w:val="24"/>
          <w:szCs w:val="24"/>
          <w:highlight w:val="none"/>
        </w:rPr>
        <w:t>临床研究有关信息。</w:t>
      </w:r>
    </w:p>
    <w:p w14:paraId="4FB4DDBD">
      <w:pPr>
        <w:pStyle w:val="4"/>
        <w:keepNext w:val="0"/>
        <w:keepLines w:val="0"/>
        <w:widowControl/>
        <w:suppressLineNumbers w:val="0"/>
        <w:spacing w:after="0" w:afterAutospacing="0" w:line="23" w:lineRule="atLeast"/>
        <w:ind w:left="0" w:firstLine="420"/>
        <w:rPr>
          <w:rFonts w:hint="eastAsia" w:ascii="仿宋" w:hAnsi="仿宋" w:eastAsia="仿宋" w:cs="仿宋"/>
          <w:color w:val="484848"/>
          <w:spacing w:val="0"/>
          <w:sz w:val="32"/>
          <w:szCs w:val="32"/>
          <w:highlight w:val="none"/>
        </w:rPr>
      </w:pPr>
      <w:r>
        <w:rPr>
          <w:rFonts w:hint="eastAsia" w:ascii="仿宋" w:hAnsi="仿宋" w:eastAsia="仿宋" w:cs="仿宋"/>
          <w:color w:val="484848"/>
          <w:spacing w:val="0"/>
          <w:sz w:val="24"/>
          <w:szCs w:val="24"/>
          <w:highlight w:val="none"/>
        </w:rPr>
        <w:t>研究者应当如实、准确、完整填写临床研究信息，临床研究管理部门、伦理（审查）委员会等应当分别在系统填写并上传科学性审查、伦理审查和医疗卫生机构立项审核意见。</w:t>
      </w:r>
    </w:p>
    <w:p w14:paraId="379C5ABE">
      <w:pPr>
        <w:pStyle w:val="4"/>
        <w:keepNext w:val="0"/>
        <w:keepLines w:val="0"/>
        <w:widowControl/>
        <w:suppressLineNumbers w:val="0"/>
        <w:spacing w:after="0" w:afterAutospacing="0" w:line="23" w:lineRule="atLeast"/>
        <w:ind w:left="0" w:firstLine="420"/>
        <w:rPr>
          <w:rFonts w:hint="eastAsia" w:ascii="仿宋" w:hAnsi="仿宋" w:eastAsia="仿宋" w:cs="仿宋"/>
          <w:color w:val="484848"/>
          <w:spacing w:val="0"/>
          <w:sz w:val="32"/>
          <w:szCs w:val="32"/>
          <w:highlight w:val="none"/>
        </w:rPr>
      </w:pPr>
      <w:r>
        <w:rPr>
          <w:rFonts w:hint="eastAsia" w:ascii="仿宋" w:hAnsi="仿宋" w:eastAsia="仿宋" w:cs="仿宋"/>
          <w:color w:val="484848"/>
          <w:spacing w:val="0"/>
          <w:sz w:val="24"/>
          <w:szCs w:val="24"/>
          <w:highlight w:val="none"/>
        </w:rPr>
        <w:t>医疗卫生机构应当对临床研究信息的真实性、准确性、完整性等进行审核，并对相关内容负责，医疗卫生机构审核后完成信息上传。</w:t>
      </w:r>
    </w:p>
    <w:p w14:paraId="2303C44E">
      <w:pPr>
        <w:pStyle w:val="4"/>
        <w:keepNext w:val="0"/>
        <w:keepLines w:val="0"/>
        <w:widowControl/>
        <w:suppressLineNumbers w:val="0"/>
        <w:spacing w:after="0" w:afterAutospacing="0" w:line="23" w:lineRule="atLeast"/>
        <w:ind w:left="0" w:firstLine="420"/>
        <w:rPr>
          <w:rFonts w:hint="eastAsia" w:ascii="仿宋" w:hAnsi="仿宋" w:eastAsia="仿宋" w:cs="仿宋"/>
          <w:color w:val="484848"/>
          <w:spacing w:val="0"/>
          <w:sz w:val="32"/>
          <w:szCs w:val="32"/>
          <w:highlight w:val="none"/>
        </w:rPr>
      </w:pPr>
      <w:r>
        <w:rPr>
          <w:rFonts w:hint="eastAsia" w:ascii="仿宋" w:hAnsi="仿宋" w:eastAsia="仿宋" w:cs="仿宋"/>
          <w:color w:val="484848"/>
          <w:spacing w:val="0"/>
          <w:sz w:val="24"/>
          <w:szCs w:val="24"/>
          <w:highlight w:val="none"/>
        </w:rPr>
        <w:t>在系统填写临床研究信息，应当使用规范汉字，涉及专业术语的应当符合学术规范。</w:t>
      </w:r>
    </w:p>
    <w:p w14:paraId="3CCB68A9">
      <w:pPr>
        <w:pStyle w:val="4"/>
        <w:keepNext w:val="0"/>
        <w:keepLines w:val="0"/>
        <w:widowControl/>
        <w:suppressLineNumbers w:val="0"/>
        <w:spacing w:after="0" w:afterAutospacing="0" w:line="23" w:lineRule="atLeast"/>
        <w:ind w:left="0" w:firstLine="420"/>
        <w:rPr>
          <w:rFonts w:hint="eastAsia" w:ascii="仿宋" w:hAnsi="仿宋" w:eastAsia="仿宋" w:cs="仿宋"/>
          <w:color w:val="484848"/>
          <w:spacing w:val="0"/>
          <w:sz w:val="32"/>
          <w:szCs w:val="32"/>
          <w:highlight w:val="none"/>
        </w:rPr>
      </w:pPr>
      <w:r>
        <w:rPr>
          <w:rFonts w:hint="eastAsia" w:ascii="仿宋" w:hAnsi="仿宋" w:eastAsia="仿宋" w:cs="仿宋"/>
          <w:color w:val="484848"/>
          <w:spacing w:val="0"/>
          <w:sz w:val="24"/>
          <w:szCs w:val="24"/>
          <w:highlight w:val="none"/>
        </w:rPr>
        <w:t>完成信息上传的</w:t>
      </w:r>
      <w:r>
        <w:rPr>
          <w:rFonts w:hint="eastAsia" w:ascii="仿宋" w:hAnsi="仿宋" w:eastAsia="仿宋" w:cs="仿宋"/>
          <w:color w:val="484848"/>
          <w:spacing w:val="0"/>
          <w:sz w:val="24"/>
          <w:szCs w:val="24"/>
          <w:highlight w:val="none"/>
        </w:rPr>
        <w:t>临床研究由系统统一编号</w:t>
      </w:r>
      <w:r>
        <w:rPr>
          <w:rFonts w:hint="eastAsia" w:ascii="仿宋" w:hAnsi="仿宋" w:eastAsia="仿宋" w:cs="仿宋"/>
          <w:color w:val="484848"/>
          <w:spacing w:val="0"/>
          <w:sz w:val="24"/>
          <w:szCs w:val="24"/>
          <w:highlight w:val="none"/>
        </w:rPr>
        <w:t>。在临床研究结果总结、结项报告、论文发表时应当注明系统统一编号。</w:t>
      </w:r>
    </w:p>
    <w:p w14:paraId="541DF04A">
      <w:pPr>
        <w:pStyle w:val="4"/>
        <w:keepNext w:val="0"/>
        <w:keepLines w:val="0"/>
        <w:widowControl/>
        <w:suppressLineNumbers w:val="0"/>
        <w:spacing w:after="0" w:afterAutospacing="0" w:line="23" w:lineRule="atLeast"/>
        <w:ind w:left="0" w:firstLine="420"/>
        <w:rPr>
          <w:rFonts w:hint="eastAsia" w:ascii="微软雅黑" w:hAnsi="微软雅黑" w:eastAsia="微软雅黑" w:cs="微软雅黑"/>
          <w:color w:val="484848"/>
          <w:spacing w:val="0"/>
          <w:sz w:val="32"/>
          <w:szCs w:val="32"/>
          <w:highlight w:val="none"/>
        </w:rPr>
      </w:pPr>
      <w:r>
        <w:rPr>
          <w:rFonts w:hint="eastAsia" w:ascii="黑体" w:hAnsi="宋体" w:eastAsia="黑体" w:cs="黑体"/>
          <w:color w:val="484848"/>
          <w:spacing w:val="0"/>
          <w:sz w:val="24"/>
          <w:szCs w:val="24"/>
          <w:highlight w:val="none"/>
        </w:rPr>
        <w:t>第二十七条</w:t>
      </w:r>
      <w:r>
        <w:rPr>
          <w:rFonts w:hint="eastAsia" w:ascii="仿宋" w:hAnsi="仿宋" w:eastAsia="仿宋" w:cs="仿宋"/>
          <w:color w:val="484848"/>
          <w:spacing w:val="0"/>
          <w:sz w:val="24"/>
          <w:szCs w:val="24"/>
          <w:highlight w:val="none"/>
        </w:rPr>
        <w:t>  多中心研究由</w:t>
      </w:r>
      <w:r>
        <w:rPr>
          <w:rFonts w:hint="eastAsia" w:ascii="仿宋" w:hAnsi="仿宋" w:eastAsia="仿宋" w:cs="仿宋"/>
          <w:color w:val="484848"/>
          <w:spacing w:val="0"/>
          <w:sz w:val="24"/>
          <w:szCs w:val="24"/>
          <w:highlight w:val="none"/>
        </w:rPr>
        <w:t>牵头医疗卫生机构的研究者在系统填写</w:t>
      </w:r>
      <w:r>
        <w:rPr>
          <w:rFonts w:hint="eastAsia" w:ascii="仿宋" w:hAnsi="仿宋" w:eastAsia="仿宋" w:cs="仿宋"/>
          <w:color w:val="484848"/>
          <w:spacing w:val="0"/>
          <w:sz w:val="24"/>
          <w:szCs w:val="24"/>
          <w:highlight w:val="none"/>
        </w:rPr>
        <w:t>，牵头机构和</w:t>
      </w:r>
      <w:r>
        <w:rPr>
          <w:rFonts w:hint="eastAsia" w:ascii="仿宋" w:hAnsi="仿宋" w:eastAsia="仿宋" w:cs="仿宋"/>
          <w:color w:val="484848"/>
          <w:spacing w:val="0"/>
          <w:sz w:val="24"/>
          <w:szCs w:val="24"/>
          <w:highlight w:val="none"/>
        </w:rPr>
        <w:t>参与机构</w:t>
      </w:r>
      <w:r>
        <w:rPr>
          <w:rFonts w:hint="eastAsia" w:ascii="仿宋" w:hAnsi="仿宋" w:eastAsia="仿宋" w:cs="仿宋"/>
          <w:color w:val="484848"/>
          <w:spacing w:val="0"/>
          <w:sz w:val="24"/>
          <w:szCs w:val="24"/>
          <w:highlight w:val="none"/>
        </w:rPr>
        <w:t>的临床研究管理部门、伦理（审查）委员会根据要求在系统上确认或上传有关补充材料、</w:t>
      </w:r>
      <w:r>
        <w:rPr>
          <w:rFonts w:hint="eastAsia" w:ascii="仿宋" w:hAnsi="仿宋" w:eastAsia="仿宋" w:cs="仿宋"/>
          <w:color w:val="484848"/>
          <w:spacing w:val="0"/>
          <w:sz w:val="24"/>
          <w:szCs w:val="24"/>
          <w:highlight w:val="none"/>
        </w:rPr>
        <w:t>提交审核意见</w:t>
      </w:r>
      <w:r>
        <w:rPr>
          <w:rFonts w:hint="eastAsia" w:ascii="仿宋" w:hAnsi="仿宋" w:eastAsia="仿宋" w:cs="仿宋"/>
          <w:color w:val="484848"/>
          <w:spacing w:val="0"/>
          <w:sz w:val="24"/>
          <w:szCs w:val="24"/>
          <w:highlight w:val="none"/>
        </w:rPr>
        <w:t>，并分别对有关信息的真实性、准确性、完整性</w:t>
      </w:r>
      <w:r>
        <w:rPr>
          <w:rFonts w:hint="eastAsia" w:ascii="仿宋" w:hAnsi="仿宋" w:eastAsia="仿宋" w:cs="仿宋"/>
          <w:color w:val="484848"/>
          <w:spacing w:val="0"/>
          <w:sz w:val="24"/>
          <w:szCs w:val="24"/>
          <w:highlight w:val="none"/>
        </w:rPr>
        <w:t>负责</w:t>
      </w:r>
      <w:r>
        <w:rPr>
          <w:rFonts w:hint="eastAsia" w:ascii="仿宋" w:hAnsi="仿宋" w:eastAsia="仿宋" w:cs="仿宋"/>
          <w:color w:val="484848"/>
          <w:spacing w:val="0"/>
          <w:sz w:val="24"/>
          <w:szCs w:val="24"/>
          <w:highlight w:val="none"/>
        </w:rPr>
        <w:t>。</w:t>
      </w:r>
    </w:p>
    <w:p w14:paraId="44A1CF42">
      <w:pPr>
        <w:pStyle w:val="4"/>
        <w:keepNext w:val="0"/>
        <w:keepLines w:val="0"/>
        <w:widowControl/>
        <w:suppressLineNumbers w:val="0"/>
        <w:spacing w:after="0" w:afterAutospacing="0" w:line="23" w:lineRule="atLeast"/>
        <w:ind w:left="0" w:firstLine="420"/>
        <w:rPr>
          <w:rFonts w:hint="eastAsia" w:ascii="微软雅黑" w:hAnsi="微软雅黑" w:eastAsia="微软雅黑" w:cs="微软雅黑"/>
          <w:color w:val="484848"/>
          <w:spacing w:val="0"/>
          <w:sz w:val="32"/>
          <w:szCs w:val="32"/>
          <w:highlight w:val="none"/>
        </w:rPr>
      </w:pPr>
      <w:r>
        <w:rPr>
          <w:rFonts w:hint="eastAsia" w:ascii="黑体" w:hAnsi="宋体" w:eastAsia="黑体" w:cs="黑体"/>
          <w:color w:val="484848"/>
          <w:spacing w:val="0"/>
          <w:sz w:val="24"/>
          <w:szCs w:val="24"/>
          <w:highlight w:val="none"/>
        </w:rPr>
        <w:t>第二十八条</w:t>
      </w:r>
      <w:r>
        <w:rPr>
          <w:rFonts w:hint="eastAsia" w:ascii="仿宋" w:hAnsi="仿宋" w:eastAsia="仿宋" w:cs="仿宋"/>
          <w:color w:val="484848"/>
          <w:spacing w:val="0"/>
          <w:sz w:val="24"/>
          <w:szCs w:val="24"/>
          <w:highlight w:val="none"/>
        </w:rPr>
        <w:t>  完成信息上传的临床研究有关信息，通过系统或国家卫生健康委明确的平台向社会公开，接受同行和社会监督。</w:t>
      </w:r>
    </w:p>
    <w:p w14:paraId="3347467E">
      <w:pPr>
        <w:pStyle w:val="4"/>
        <w:keepNext w:val="0"/>
        <w:keepLines w:val="0"/>
        <w:widowControl/>
        <w:suppressLineNumbers w:val="0"/>
        <w:spacing w:after="0" w:afterAutospacing="0" w:line="23" w:lineRule="atLeast"/>
        <w:ind w:left="0" w:firstLine="420"/>
        <w:rPr>
          <w:rFonts w:hint="eastAsia" w:ascii="仿宋" w:hAnsi="仿宋" w:eastAsia="仿宋" w:cs="仿宋"/>
          <w:color w:val="484848"/>
          <w:spacing w:val="0"/>
          <w:sz w:val="32"/>
          <w:szCs w:val="32"/>
          <w:highlight w:val="none"/>
        </w:rPr>
      </w:pPr>
      <w:r>
        <w:rPr>
          <w:rFonts w:hint="eastAsia" w:ascii="仿宋" w:hAnsi="仿宋" w:eastAsia="仿宋" w:cs="仿宋"/>
          <w:color w:val="484848"/>
          <w:spacing w:val="0"/>
          <w:sz w:val="24"/>
          <w:szCs w:val="24"/>
          <w:highlight w:val="none"/>
        </w:rPr>
        <w:t> </w:t>
      </w:r>
    </w:p>
    <w:p w14:paraId="3E736547">
      <w:pPr>
        <w:pStyle w:val="4"/>
        <w:keepNext w:val="0"/>
        <w:keepLines w:val="0"/>
        <w:widowControl/>
        <w:suppressLineNumbers w:val="0"/>
        <w:spacing w:after="0" w:afterAutospacing="0" w:line="23" w:lineRule="atLeast"/>
        <w:jc w:val="center"/>
        <w:rPr>
          <w:rFonts w:hint="eastAsia" w:ascii="微软雅黑" w:hAnsi="微软雅黑" w:eastAsia="微软雅黑" w:cs="微软雅黑"/>
          <w:color w:val="484848"/>
          <w:spacing w:val="0"/>
          <w:sz w:val="32"/>
          <w:szCs w:val="32"/>
          <w:highlight w:val="none"/>
        </w:rPr>
      </w:pPr>
      <w:r>
        <w:rPr>
          <w:rFonts w:hint="eastAsia" w:ascii="黑体" w:hAnsi="宋体" w:eastAsia="黑体" w:cs="黑体"/>
          <w:color w:val="484848"/>
          <w:spacing w:val="0"/>
          <w:sz w:val="24"/>
          <w:szCs w:val="24"/>
          <w:highlight w:val="none"/>
        </w:rPr>
        <w:t>第五章  财务管理</w:t>
      </w:r>
    </w:p>
    <w:p w14:paraId="4D47FC38">
      <w:pPr>
        <w:pStyle w:val="4"/>
        <w:keepNext w:val="0"/>
        <w:keepLines w:val="0"/>
        <w:widowControl/>
        <w:suppressLineNumbers w:val="0"/>
        <w:spacing w:after="0" w:afterAutospacing="0" w:line="23" w:lineRule="atLeast"/>
        <w:ind w:left="0" w:firstLine="420"/>
        <w:rPr>
          <w:rFonts w:hint="eastAsia" w:ascii="微软雅黑" w:hAnsi="微软雅黑" w:eastAsia="微软雅黑" w:cs="微软雅黑"/>
          <w:color w:val="484848"/>
          <w:spacing w:val="0"/>
          <w:sz w:val="32"/>
          <w:szCs w:val="32"/>
          <w:highlight w:val="none"/>
        </w:rPr>
      </w:pPr>
      <w:r>
        <w:rPr>
          <w:rFonts w:hint="eastAsia" w:ascii="黑体" w:hAnsi="宋体" w:eastAsia="黑体" w:cs="黑体"/>
          <w:color w:val="484848"/>
          <w:spacing w:val="0"/>
          <w:sz w:val="24"/>
          <w:szCs w:val="24"/>
          <w:highlight w:val="none"/>
        </w:rPr>
        <w:t>第二十九条</w:t>
      </w:r>
      <w:r>
        <w:rPr>
          <w:rFonts w:hint="eastAsia" w:ascii="仿宋" w:hAnsi="仿宋" w:eastAsia="仿宋" w:cs="仿宋"/>
          <w:color w:val="484848"/>
          <w:spacing w:val="0"/>
          <w:sz w:val="24"/>
          <w:szCs w:val="24"/>
          <w:highlight w:val="none"/>
        </w:rPr>
        <w:t>  医疗卫生机构应当根据国家法律法规规定和文件要求，建立</w:t>
      </w:r>
      <w:r>
        <w:rPr>
          <w:rFonts w:hint="eastAsia" w:ascii="仿宋" w:hAnsi="仿宋" w:eastAsia="仿宋" w:cs="仿宋"/>
          <w:color w:val="484848"/>
          <w:spacing w:val="0"/>
          <w:sz w:val="24"/>
          <w:szCs w:val="24"/>
          <w:highlight w:val="none"/>
        </w:rPr>
        <w:t>临床研究经费管理制度</w:t>
      </w:r>
      <w:r>
        <w:rPr>
          <w:rFonts w:hint="eastAsia" w:ascii="仿宋" w:hAnsi="仿宋" w:eastAsia="仿宋" w:cs="仿宋"/>
          <w:color w:val="484848"/>
          <w:spacing w:val="0"/>
          <w:sz w:val="24"/>
          <w:szCs w:val="24"/>
          <w:highlight w:val="none"/>
        </w:rPr>
        <w:t>，对批准立项的临床研究经费纳入单位收支进行</w:t>
      </w:r>
      <w:r>
        <w:rPr>
          <w:rFonts w:hint="eastAsia" w:ascii="仿宋" w:hAnsi="仿宋" w:eastAsia="仿宋" w:cs="仿宋"/>
          <w:color w:val="484848"/>
          <w:spacing w:val="0"/>
          <w:sz w:val="24"/>
          <w:szCs w:val="24"/>
          <w:highlight w:val="none"/>
        </w:rPr>
        <w:t>统一管理，专款专用</w:t>
      </w:r>
      <w:r>
        <w:rPr>
          <w:rFonts w:hint="eastAsia" w:ascii="仿宋" w:hAnsi="仿宋" w:eastAsia="仿宋" w:cs="仿宋"/>
          <w:color w:val="484848"/>
          <w:spacing w:val="0"/>
          <w:sz w:val="24"/>
          <w:szCs w:val="24"/>
          <w:highlight w:val="none"/>
        </w:rPr>
        <w:t>。</w:t>
      </w:r>
    </w:p>
    <w:p w14:paraId="73C2E3C7">
      <w:pPr>
        <w:pStyle w:val="4"/>
        <w:keepNext w:val="0"/>
        <w:keepLines w:val="0"/>
        <w:widowControl/>
        <w:suppressLineNumbers w:val="0"/>
        <w:spacing w:after="0" w:afterAutospacing="0" w:line="23" w:lineRule="atLeast"/>
        <w:ind w:left="0" w:firstLine="420"/>
        <w:rPr>
          <w:rFonts w:hint="eastAsia" w:ascii="仿宋" w:hAnsi="仿宋" w:eastAsia="仿宋" w:cs="仿宋"/>
          <w:color w:val="484848"/>
          <w:spacing w:val="0"/>
          <w:sz w:val="32"/>
          <w:szCs w:val="32"/>
          <w:highlight w:val="none"/>
        </w:rPr>
      </w:pPr>
      <w:r>
        <w:rPr>
          <w:rFonts w:hint="eastAsia" w:ascii="仿宋" w:hAnsi="仿宋" w:eastAsia="仿宋" w:cs="仿宋"/>
          <w:color w:val="484848"/>
          <w:spacing w:val="0"/>
          <w:sz w:val="24"/>
          <w:szCs w:val="24"/>
          <w:highlight w:val="none"/>
        </w:rPr>
        <w:t>医疗卫生机构内设科室、部门和个人不得私自收受临床研究经费及物品。</w:t>
      </w:r>
    </w:p>
    <w:p w14:paraId="008ED66D">
      <w:pPr>
        <w:pStyle w:val="4"/>
        <w:keepNext w:val="0"/>
        <w:keepLines w:val="0"/>
        <w:widowControl/>
        <w:suppressLineNumbers w:val="0"/>
        <w:spacing w:after="0" w:afterAutospacing="0" w:line="23" w:lineRule="atLeast"/>
        <w:ind w:left="0" w:firstLine="420"/>
        <w:rPr>
          <w:rFonts w:hint="eastAsia" w:ascii="微软雅黑" w:hAnsi="微软雅黑" w:eastAsia="微软雅黑" w:cs="微软雅黑"/>
          <w:color w:val="484848"/>
          <w:spacing w:val="0"/>
          <w:sz w:val="32"/>
          <w:szCs w:val="32"/>
          <w:highlight w:val="none"/>
        </w:rPr>
      </w:pPr>
      <w:r>
        <w:rPr>
          <w:rFonts w:hint="eastAsia" w:ascii="黑体" w:hAnsi="宋体" w:eastAsia="黑体" w:cs="黑体"/>
          <w:color w:val="484848"/>
          <w:spacing w:val="0"/>
          <w:sz w:val="24"/>
          <w:szCs w:val="24"/>
          <w:highlight w:val="none"/>
        </w:rPr>
        <w:t>第三十条</w:t>
      </w:r>
      <w:r>
        <w:rPr>
          <w:rFonts w:hint="eastAsia" w:ascii="仿宋" w:hAnsi="仿宋" w:eastAsia="仿宋" w:cs="仿宋"/>
          <w:color w:val="484848"/>
          <w:spacing w:val="0"/>
          <w:sz w:val="24"/>
          <w:szCs w:val="24"/>
          <w:highlight w:val="none"/>
        </w:rPr>
        <w:t>  研究者应当严格执行本医疗卫生机构规章制度，合理使用研究经费，不得擅自调整或挪作他用。</w:t>
      </w:r>
    </w:p>
    <w:p w14:paraId="173E7C8F">
      <w:pPr>
        <w:pStyle w:val="4"/>
        <w:keepNext w:val="0"/>
        <w:keepLines w:val="0"/>
        <w:widowControl/>
        <w:suppressLineNumbers w:val="0"/>
        <w:spacing w:after="0" w:afterAutospacing="0" w:line="23" w:lineRule="atLeast"/>
        <w:ind w:left="0" w:firstLine="420"/>
        <w:rPr>
          <w:rFonts w:hint="eastAsia" w:ascii="微软雅黑" w:hAnsi="微软雅黑" w:eastAsia="微软雅黑" w:cs="微软雅黑"/>
          <w:color w:val="484848"/>
          <w:spacing w:val="0"/>
          <w:sz w:val="32"/>
          <w:szCs w:val="32"/>
          <w:highlight w:val="none"/>
        </w:rPr>
      </w:pPr>
      <w:r>
        <w:rPr>
          <w:rFonts w:hint="eastAsia" w:ascii="黑体" w:hAnsi="宋体" w:eastAsia="黑体" w:cs="黑体"/>
          <w:color w:val="484848"/>
          <w:spacing w:val="0"/>
          <w:sz w:val="24"/>
          <w:szCs w:val="24"/>
          <w:highlight w:val="none"/>
        </w:rPr>
        <w:t>第三十一条</w:t>
      </w:r>
      <w:r>
        <w:rPr>
          <w:rFonts w:hint="eastAsia" w:ascii="仿宋" w:hAnsi="仿宋" w:eastAsia="仿宋" w:cs="仿宋"/>
          <w:color w:val="484848"/>
          <w:spacing w:val="0"/>
          <w:sz w:val="24"/>
          <w:szCs w:val="24"/>
          <w:highlight w:val="none"/>
        </w:rPr>
        <w:t>  医疗卫生机构或研究者</w:t>
      </w:r>
      <w:r>
        <w:rPr>
          <w:rFonts w:hint="eastAsia" w:ascii="仿宋" w:hAnsi="仿宋" w:eastAsia="仿宋" w:cs="仿宋"/>
          <w:color w:val="484848"/>
          <w:spacing w:val="0"/>
          <w:sz w:val="24"/>
          <w:szCs w:val="24"/>
          <w:highlight w:val="none"/>
        </w:rPr>
        <w:t>严禁</w:t>
      </w:r>
      <w:r>
        <w:rPr>
          <w:rFonts w:hint="eastAsia" w:ascii="仿宋" w:hAnsi="仿宋" w:eastAsia="仿宋" w:cs="仿宋"/>
          <w:color w:val="484848"/>
          <w:spacing w:val="0"/>
          <w:sz w:val="24"/>
          <w:szCs w:val="24"/>
          <w:highlight w:val="none"/>
        </w:rPr>
        <w:t>违规向研究参与者收取与研究相关的费用。</w:t>
      </w:r>
    </w:p>
    <w:p w14:paraId="21E89951">
      <w:pPr>
        <w:pStyle w:val="4"/>
        <w:keepNext w:val="0"/>
        <w:keepLines w:val="0"/>
        <w:widowControl/>
        <w:suppressLineNumbers w:val="0"/>
        <w:spacing w:after="0" w:afterAutospacing="0" w:line="23" w:lineRule="atLeast"/>
        <w:ind w:left="0" w:firstLine="420"/>
        <w:rPr>
          <w:rFonts w:hint="eastAsia" w:ascii="仿宋" w:hAnsi="仿宋" w:eastAsia="仿宋" w:cs="仿宋"/>
          <w:color w:val="484848"/>
          <w:spacing w:val="0"/>
          <w:sz w:val="32"/>
          <w:szCs w:val="32"/>
          <w:highlight w:val="none"/>
        </w:rPr>
      </w:pPr>
      <w:r>
        <w:rPr>
          <w:rFonts w:hint="eastAsia" w:ascii="仿宋" w:hAnsi="仿宋" w:eastAsia="仿宋" w:cs="仿宋"/>
          <w:color w:val="484848"/>
          <w:spacing w:val="0"/>
          <w:sz w:val="24"/>
          <w:szCs w:val="24"/>
          <w:highlight w:val="none"/>
        </w:rPr>
        <w:t> </w:t>
      </w:r>
    </w:p>
    <w:p w14:paraId="4A00E4DF">
      <w:pPr>
        <w:pStyle w:val="4"/>
        <w:keepNext w:val="0"/>
        <w:keepLines w:val="0"/>
        <w:widowControl/>
        <w:suppressLineNumbers w:val="0"/>
        <w:spacing w:after="0" w:afterAutospacing="0" w:line="23" w:lineRule="atLeast"/>
        <w:jc w:val="center"/>
        <w:rPr>
          <w:rFonts w:hint="eastAsia" w:ascii="微软雅黑" w:hAnsi="微软雅黑" w:eastAsia="微软雅黑" w:cs="微软雅黑"/>
          <w:color w:val="484848"/>
          <w:spacing w:val="0"/>
          <w:sz w:val="32"/>
          <w:szCs w:val="32"/>
          <w:highlight w:val="none"/>
        </w:rPr>
      </w:pPr>
      <w:r>
        <w:rPr>
          <w:rFonts w:hint="eastAsia" w:ascii="黑体" w:hAnsi="宋体" w:eastAsia="黑体" w:cs="黑体"/>
          <w:color w:val="484848"/>
          <w:spacing w:val="0"/>
          <w:sz w:val="24"/>
          <w:szCs w:val="24"/>
          <w:highlight w:val="none"/>
        </w:rPr>
        <w:t>第六章 实施管理</w:t>
      </w:r>
    </w:p>
    <w:p w14:paraId="6B8550D3">
      <w:pPr>
        <w:pStyle w:val="4"/>
        <w:keepNext w:val="0"/>
        <w:keepLines w:val="0"/>
        <w:widowControl/>
        <w:suppressLineNumbers w:val="0"/>
        <w:spacing w:after="0" w:afterAutospacing="0" w:line="23" w:lineRule="atLeast"/>
        <w:ind w:left="0" w:firstLine="420"/>
        <w:rPr>
          <w:rFonts w:hint="eastAsia" w:ascii="微软雅黑" w:hAnsi="微软雅黑" w:eastAsia="微软雅黑" w:cs="微软雅黑"/>
          <w:color w:val="484848"/>
          <w:spacing w:val="0"/>
          <w:sz w:val="32"/>
          <w:szCs w:val="32"/>
          <w:highlight w:val="none"/>
        </w:rPr>
      </w:pPr>
      <w:r>
        <w:rPr>
          <w:rFonts w:hint="eastAsia" w:ascii="黑体" w:hAnsi="宋体" w:eastAsia="黑体" w:cs="黑体"/>
          <w:color w:val="484848"/>
          <w:spacing w:val="0"/>
          <w:sz w:val="24"/>
          <w:szCs w:val="24"/>
          <w:highlight w:val="none"/>
        </w:rPr>
        <w:t>第三十二条</w:t>
      </w:r>
      <w:r>
        <w:rPr>
          <w:rFonts w:hint="eastAsia" w:ascii="仿宋" w:hAnsi="仿宋" w:eastAsia="仿宋" w:cs="仿宋"/>
          <w:color w:val="484848"/>
          <w:spacing w:val="0"/>
          <w:sz w:val="24"/>
          <w:szCs w:val="24"/>
          <w:highlight w:val="none"/>
        </w:rPr>
        <w:t>  研究者应当</w:t>
      </w:r>
      <w:r>
        <w:rPr>
          <w:rFonts w:hint="eastAsia" w:ascii="仿宋" w:hAnsi="仿宋" w:eastAsia="仿宋" w:cs="仿宋"/>
          <w:color w:val="484848"/>
          <w:spacing w:val="0"/>
          <w:sz w:val="24"/>
          <w:szCs w:val="24"/>
          <w:highlight w:val="none"/>
        </w:rPr>
        <w:t>严格按照批准的方案开展临床研究</w:t>
      </w:r>
      <w:r>
        <w:rPr>
          <w:rFonts w:hint="eastAsia" w:ascii="仿宋" w:hAnsi="仿宋" w:eastAsia="仿宋" w:cs="仿宋"/>
          <w:color w:val="484848"/>
          <w:spacing w:val="0"/>
          <w:sz w:val="24"/>
          <w:szCs w:val="24"/>
          <w:highlight w:val="none"/>
        </w:rPr>
        <w:t>，稳慎、积极推动临床研究开展，</w:t>
      </w:r>
      <w:r>
        <w:rPr>
          <w:rFonts w:hint="eastAsia" w:ascii="仿宋" w:hAnsi="仿宋" w:eastAsia="仿宋" w:cs="仿宋"/>
          <w:color w:val="484848"/>
          <w:spacing w:val="0"/>
          <w:sz w:val="24"/>
          <w:szCs w:val="24"/>
          <w:highlight w:val="none"/>
        </w:rPr>
        <w:t>如实记录</w:t>
      </w:r>
      <w:r>
        <w:rPr>
          <w:rFonts w:hint="eastAsia" w:ascii="仿宋" w:hAnsi="仿宋" w:eastAsia="仿宋" w:cs="仿宋"/>
          <w:color w:val="484848"/>
          <w:spacing w:val="0"/>
          <w:sz w:val="24"/>
          <w:szCs w:val="24"/>
          <w:highlight w:val="none"/>
        </w:rPr>
        <w:t>临床研究过程和结果并妥善保存，配合医疗卫生机构及卫生健康行政部门完成对临床研究的监督检查。</w:t>
      </w:r>
    </w:p>
    <w:p w14:paraId="25D8F30C">
      <w:pPr>
        <w:pStyle w:val="4"/>
        <w:keepNext w:val="0"/>
        <w:keepLines w:val="0"/>
        <w:widowControl/>
        <w:suppressLineNumbers w:val="0"/>
        <w:spacing w:after="0" w:afterAutospacing="0" w:line="23" w:lineRule="atLeast"/>
        <w:ind w:left="0" w:firstLine="420"/>
        <w:rPr>
          <w:rFonts w:hint="eastAsia" w:ascii="微软雅黑" w:hAnsi="微软雅黑" w:eastAsia="微软雅黑" w:cs="微软雅黑"/>
          <w:color w:val="484848"/>
          <w:spacing w:val="0"/>
          <w:sz w:val="32"/>
          <w:szCs w:val="32"/>
          <w:highlight w:val="none"/>
        </w:rPr>
      </w:pPr>
      <w:r>
        <w:rPr>
          <w:rFonts w:hint="eastAsia" w:ascii="黑体" w:hAnsi="宋体" w:eastAsia="黑体" w:cs="黑体"/>
          <w:color w:val="484848"/>
          <w:spacing w:val="0"/>
          <w:sz w:val="24"/>
          <w:szCs w:val="24"/>
          <w:highlight w:val="none"/>
        </w:rPr>
        <w:t>第三十三条</w:t>
      </w:r>
      <w:r>
        <w:rPr>
          <w:rFonts w:hint="eastAsia" w:ascii="仿宋" w:hAnsi="仿宋" w:eastAsia="仿宋" w:cs="仿宋"/>
          <w:color w:val="484848"/>
          <w:spacing w:val="0"/>
          <w:sz w:val="24"/>
          <w:szCs w:val="24"/>
          <w:highlight w:val="none"/>
        </w:rPr>
        <w:t>  在研究过程中，研究者需要</w:t>
      </w:r>
      <w:r>
        <w:rPr>
          <w:rFonts w:hint="eastAsia" w:ascii="仿宋" w:hAnsi="仿宋" w:eastAsia="仿宋" w:cs="仿宋"/>
          <w:color w:val="484848"/>
          <w:spacing w:val="0"/>
          <w:sz w:val="24"/>
          <w:szCs w:val="24"/>
          <w:highlight w:val="none"/>
        </w:rPr>
        <w:t>对已立项的临床研究项目</w:t>
      </w:r>
      <w:r>
        <w:rPr>
          <w:rFonts w:hint="eastAsia" w:ascii="仿宋" w:hAnsi="仿宋" w:eastAsia="仿宋" w:cs="仿宋"/>
          <w:color w:val="484848"/>
          <w:spacing w:val="0"/>
          <w:sz w:val="24"/>
          <w:szCs w:val="24"/>
          <w:highlight w:val="none"/>
        </w:rPr>
        <w:t>进行变更的，应当向医疗卫生机构临床研究管理部门报告。</w:t>
      </w:r>
    </w:p>
    <w:p w14:paraId="6C2F62DF">
      <w:pPr>
        <w:pStyle w:val="4"/>
        <w:keepNext w:val="0"/>
        <w:keepLines w:val="0"/>
        <w:widowControl/>
        <w:suppressLineNumbers w:val="0"/>
        <w:spacing w:after="0" w:afterAutospacing="0" w:line="23" w:lineRule="atLeast"/>
        <w:ind w:left="0" w:firstLine="420"/>
        <w:rPr>
          <w:rFonts w:hint="eastAsia" w:ascii="仿宋" w:hAnsi="仿宋" w:eastAsia="仿宋" w:cs="仿宋"/>
          <w:color w:val="484848"/>
          <w:spacing w:val="0"/>
          <w:sz w:val="32"/>
          <w:szCs w:val="32"/>
          <w:highlight w:val="none"/>
        </w:rPr>
      </w:pPr>
      <w:r>
        <w:rPr>
          <w:rFonts w:hint="eastAsia" w:ascii="仿宋" w:hAnsi="仿宋" w:eastAsia="仿宋" w:cs="仿宋"/>
          <w:color w:val="484848"/>
          <w:spacing w:val="0"/>
          <w:sz w:val="24"/>
          <w:szCs w:val="24"/>
          <w:highlight w:val="none"/>
        </w:rPr>
        <w:t>临床研究管理部门应当按照科学性审查和伦理审查制度组织评估，对涉及研究目的、研究方法、主要研究终点、统计方法以及研究参与者等实质修改的，应当</w:t>
      </w:r>
      <w:r>
        <w:rPr>
          <w:rFonts w:hint="eastAsia" w:ascii="仿宋" w:hAnsi="仿宋" w:eastAsia="仿宋" w:cs="仿宋"/>
          <w:color w:val="484848"/>
          <w:spacing w:val="0"/>
          <w:sz w:val="24"/>
          <w:szCs w:val="24"/>
          <w:highlight w:val="none"/>
        </w:rPr>
        <w:t>重新进行科学性和伦理审查</w:t>
      </w:r>
      <w:r>
        <w:rPr>
          <w:rFonts w:hint="eastAsia" w:ascii="仿宋" w:hAnsi="仿宋" w:eastAsia="仿宋" w:cs="仿宋"/>
          <w:color w:val="484848"/>
          <w:spacing w:val="0"/>
          <w:sz w:val="24"/>
          <w:szCs w:val="24"/>
          <w:highlight w:val="none"/>
        </w:rPr>
        <w:t>。</w:t>
      </w:r>
    </w:p>
    <w:p w14:paraId="603F4AFC">
      <w:pPr>
        <w:pStyle w:val="4"/>
        <w:keepNext w:val="0"/>
        <w:keepLines w:val="0"/>
        <w:widowControl/>
        <w:suppressLineNumbers w:val="0"/>
        <w:spacing w:after="0" w:afterAutospacing="0" w:line="23" w:lineRule="atLeast"/>
        <w:ind w:left="0" w:firstLine="420"/>
        <w:rPr>
          <w:rFonts w:hint="eastAsia" w:ascii="仿宋" w:hAnsi="仿宋" w:eastAsia="仿宋" w:cs="仿宋"/>
          <w:color w:val="484848"/>
          <w:spacing w:val="0"/>
          <w:sz w:val="32"/>
          <w:szCs w:val="32"/>
          <w:highlight w:val="none"/>
        </w:rPr>
      </w:pPr>
      <w:r>
        <w:rPr>
          <w:rFonts w:hint="eastAsia" w:ascii="仿宋" w:hAnsi="仿宋" w:eastAsia="仿宋" w:cs="仿宋"/>
          <w:color w:val="484848"/>
          <w:spacing w:val="0"/>
          <w:sz w:val="24"/>
          <w:szCs w:val="24"/>
          <w:highlight w:val="none"/>
        </w:rPr>
        <w:t>对需要</w:t>
      </w:r>
      <w:r>
        <w:rPr>
          <w:rFonts w:hint="eastAsia" w:ascii="仿宋" w:hAnsi="仿宋" w:eastAsia="仿宋" w:cs="仿宋"/>
          <w:color w:val="484848"/>
          <w:spacing w:val="0"/>
          <w:sz w:val="24"/>
          <w:szCs w:val="24"/>
          <w:highlight w:val="none"/>
        </w:rPr>
        <w:t>重新审查</w:t>
      </w:r>
      <w:r>
        <w:rPr>
          <w:rFonts w:hint="eastAsia" w:ascii="仿宋" w:hAnsi="仿宋" w:eastAsia="仿宋" w:cs="仿宋"/>
          <w:color w:val="484848"/>
          <w:spacing w:val="0"/>
          <w:sz w:val="24"/>
          <w:szCs w:val="24"/>
          <w:highlight w:val="none"/>
        </w:rPr>
        <w:t>的，应当及时启动审查。</w:t>
      </w:r>
    </w:p>
    <w:p w14:paraId="47C18AB2">
      <w:pPr>
        <w:pStyle w:val="4"/>
        <w:keepNext w:val="0"/>
        <w:keepLines w:val="0"/>
        <w:widowControl/>
        <w:suppressLineNumbers w:val="0"/>
        <w:spacing w:after="0" w:afterAutospacing="0" w:line="23" w:lineRule="atLeast"/>
        <w:ind w:left="0" w:firstLine="420"/>
        <w:rPr>
          <w:rFonts w:hint="eastAsia" w:ascii="微软雅黑" w:hAnsi="微软雅黑" w:eastAsia="微软雅黑" w:cs="微软雅黑"/>
          <w:color w:val="484848"/>
          <w:spacing w:val="0"/>
          <w:sz w:val="32"/>
          <w:szCs w:val="32"/>
          <w:highlight w:val="none"/>
        </w:rPr>
      </w:pPr>
      <w:r>
        <w:rPr>
          <w:rFonts w:hint="eastAsia" w:ascii="黑体" w:hAnsi="宋体" w:eastAsia="黑体" w:cs="黑体"/>
          <w:color w:val="484848"/>
          <w:spacing w:val="0"/>
          <w:sz w:val="24"/>
          <w:szCs w:val="24"/>
          <w:highlight w:val="none"/>
        </w:rPr>
        <w:t>第三十四条</w:t>
      </w:r>
      <w:r>
        <w:rPr>
          <w:rFonts w:hint="eastAsia" w:ascii="仿宋" w:hAnsi="仿宋" w:eastAsia="仿宋" w:cs="仿宋"/>
          <w:color w:val="484848"/>
          <w:spacing w:val="0"/>
          <w:sz w:val="24"/>
          <w:szCs w:val="24"/>
          <w:highlight w:val="none"/>
        </w:rPr>
        <w:t>  研究者可以申请暂停或终止临床研究。</w:t>
      </w:r>
    </w:p>
    <w:p w14:paraId="756D0E46">
      <w:pPr>
        <w:pStyle w:val="4"/>
        <w:keepNext w:val="0"/>
        <w:keepLines w:val="0"/>
        <w:widowControl/>
        <w:suppressLineNumbers w:val="0"/>
        <w:spacing w:after="0" w:afterAutospacing="0" w:line="23" w:lineRule="atLeast"/>
        <w:ind w:left="0" w:firstLine="420"/>
        <w:rPr>
          <w:rFonts w:hint="eastAsia" w:ascii="仿宋" w:hAnsi="仿宋" w:eastAsia="仿宋" w:cs="仿宋"/>
          <w:color w:val="484848"/>
          <w:spacing w:val="0"/>
          <w:sz w:val="32"/>
          <w:szCs w:val="32"/>
          <w:highlight w:val="none"/>
        </w:rPr>
      </w:pPr>
      <w:r>
        <w:rPr>
          <w:rFonts w:hint="eastAsia" w:ascii="仿宋" w:hAnsi="仿宋" w:eastAsia="仿宋" w:cs="仿宋"/>
          <w:color w:val="484848"/>
          <w:spacing w:val="0"/>
          <w:sz w:val="24"/>
          <w:szCs w:val="24"/>
          <w:highlight w:val="none"/>
        </w:rPr>
        <w:t>申请暂停或终止临床研究的，应当向临床研究管理部门报告并说明原因。医疗卫生机构应当按照临床研究全过程管理制度，</w:t>
      </w:r>
      <w:r>
        <w:rPr>
          <w:rFonts w:hint="eastAsia" w:ascii="仿宋" w:hAnsi="仿宋" w:eastAsia="仿宋" w:cs="仿宋"/>
          <w:color w:val="484848"/>
          <w:spacing w:val="0"/>
          <w:sz w:val="24"/>
          <w:szCs w:val="24"/>
          <w:highlight w:val="none"/>
        </w:rPr>
        <w:t>作出是否同意暂停或终止的决定</w:t>
      </w:r>
      <w:r>
        <w:rPr>
          <w:rFonts w:hint="eastAsia" w:ascii="仿宋" w:hAnsi="仿宋" w:eastAsia="仿宋" w:cs="仿宋"/>
          <w:color w:val="484848"/>
          <w:spacing w:val="0"/>
          <w:sz w:val="24"/>
          <w:szCs w:val="24"/>
          <w:highlight w:val="none"/>
        </w:rPr>
        <w:t>。</w:t>
      </w:r>
    </w:p>
    <w:p w14:paraId="0FED0FB0">
      <w:pPr>
        <w:pStyle w:val="4"/>
        <w:keepNext w:val="0"/>
        <w:keepLines w:val="0"/>
        <w:widowControl/>
        <w:suppressLineNumbers w:val="0"/>
        <w:spacing w:after="0" w:afterAutospacing="0" w:line="23" w:lineRule="atLeast"/>
        <w:ind w:left="0" w:firstLine="420"/>
        <w:rPr>
          <w:rFonts w:hint="eastAsia" w:ascii="仿宋" w:hAnsi="仿宋" w:eastAsia="仿宋" w:cs="仿宋"/>
          <w:color w:val="484848"/>
          <w:spacing w:val="0"/>
          <w:sz w:val="32"/>
          <w:szCs w:val="32"/>
          <w:highlight w:val="none"/>
        </w:rPr>
      </w:pPr>
      <w:r>
        <w:rPr>
          <w:rFonts w:hint="eastAsia" w:ascii="仿宋" w:hAnsi="仿宋" w:eastAsia="仿宋" w:cs="仿宋"/>
          <w:color w:val="484848"/>
          <w:spacing w:val="0"/>
          <w:sz w:val="24"/>
          <w:szCs w:val="24"/>
          <w:highlight w:val="none"/>
        </w:rPr>
        <w:t>暂停或终止的干预性临床研究，已经有受试者入组的，医疗卫生机构及研究者应当制定方案，</w:t>
      </w:r>
      <w:r>
        <w:rPr>
          <w:rFonts w:hint="eastAsia" w:ascii="仿宋" w:hAnsi="仿宋" w:eastAsia="仿宋" w:cs="仿宋"/>
          <w:color w:val="484848"/>
          <w:spacing w:val="0"/>
          <w:sz w:val="24"/>
          <w:szCs w:val="24"/>
          <w:highlight w:val="none"/>
        </w:rPr>
        <w:t>妥善保障已经入组受试者的权益</w:t>
      </w:r>
      <w:r>
        <w:rPr>
          <w:rFonts w:hint="eastAsia" w:ascii="仿宋" w:hAnsi="仿宋" w:eastAsia="仿宋" w:cs="仿宋"/>
          <w:color w:val="484848"/>
          <w:spacing w:val="0"/>
          <w:sz w:val="24"/>
          <w:szCs w:val="24"/>
          <w:highlight w:val="none"/>
        </w:rPr>
        <w:t>。</w:t>
      </w:r>
    </w:p>
    <w:p w14:paraId="6ACA7464">
      <w:pPr>
        <w:pStyle w:val="4"/>
        <w:keepNext w:val="0"/>
        <w:keepLines w:val="0"/>
        <w:widowControl/>
        <w:suppressLineNumbers w:val="0"/>
        <w:spacing w:after="0" w:afterAutospacing="0" w:line="23" w:lineRule="atLeast"/>
        <w:ind w:left="0" w:firstLine="420"/>
        <w:rPr>
          <w:rFonts w:hint="eastAsia" w:ascii="微软雅黑" w:hAnsi="微软雅黑" w:eastAsia="微软雅黑" w:cs="微软雅黑"/>
          <w:color w:val="484848"/>
          <w:spacing w:val="0"/>
          <w:sz w:val="32"/>
          <w:szCs w:val="32"/>
          <w:highlight w:val="none"/>
        </w:rPr>
      </w:pPr>
      <w:r>
        <w:rPr>
          <w:rFonts w:hint="eastAsia" w:ascii="黑体" w:hAnsi="宋体" w:eastAsia="黑体" w:cs="黑体"/>
          <w:color w:val="484848"/>
          <w:spacing w:val="0"/>
          <w:sz w:val="24"/>
          <w:szCs w:val="24"/>
          <w:highlight w:val="none"/>
        </w:rPr>
        <w:t>第三十五条</w:t>
      </w:r>
      <w:r>
        <w:rPr>
          <w:rFonts w:hint="eastAsia" w:ascii="仿宋" w:hAnsi="仿宋" w:eastAsia="仿宋" w:cs="仿宋"/>
          <w:color w:val="484848"/>
          <w:spacing w:val="0"/>
          <w:sz w:val="24"/>
          <w:szCs w:val="24"/>
          <w:highlight w:val="none"/>
        </w:rPr>
        <w:t>  医疗卫生机构应当对</w:t>
      </w:r>
      <w:r>
        <w:rPr>
          <w:rFonts w:hint="eastAsia" w:ascii="仿宋" w:hAnsi="仿宋" w:eastAsia="仿宋" w:cs="仿宋"/>
          <w:color w:val="484848"/>
          <w:spacing w:val="0"/>
          <w:sz w:val="24"/>
          <w:szCs w:val="24"/>
          <w:highlight w:val="none"/>
        </w:rPr>
        <w:t>临床研究</w:t>
      </w:r>
      <w:r>
        <w:rPr>
          <w:rFonts w:hint="eastAsia" w:ascii="仿宋" w:hAnsi="仿宋" w:eastAsia="仿宋" w:cs="仿宋"/>
          <w:color w:val="484848"/>
          <w:spacing w:val="0"/>
          <w:sz w:val="24"/>
          <w:szCs w:val="24"/>
          <w:highlight w:val="none"/>
        </w:rPr>
        <w:t>给予必要的人力、财力和其他资源方面的支持；同时对临床研究实施</w:t>
      </w:r>
      <w:r>
        <w:rPr>
          <w:rFonts w:hint="eastAsia" w:ascii="仿宋" w:hAnsi="仿宋" w:eastAsia="仿宋" w:cs="仿宋"/>
          <w:color w:val="484848"/>
          <w:spacing w:val="0"/>
          <w:sz w:val="24"/>
          <w:szCs w:val="24"/>
          <w:highlight w:val="none"/>
        </w:rPr>
        <w:t>全过程监管</w:t>
      </w:r>
      <w:r>
        <w:rPr>
          <w:rFonts w:hint="eastAsia" w:ascii="仿宋" w:hAnsi="仿宋" w:eastAsia="仿宋" w:cs="仿宋"/>
          <w:color w:val="484848"/>
          <w:spacing w:val="0"/>
          <w:sz w:val="24"/>
          <w:szCs w:val="24"/>
          <w:highlight w:val="none"/>
        </w:rPr>
        <w:t>，定期组织开展核查。主要研究者应当对负责的临床研究定期自查，确保临床研究的顺利进行。</w:t>
      </w:r>
    </w:p>
    <w:p w14:paraId="36736CBE">
      <w:pPr>
        <w:pStyle w:val="4"/>
        <w:keepNext w:val="0"/>
        <w:keepLines w:val="0"/>
        <w:widowControl/>
        <w:suppressLineNumbers w:val="0"/>
        <w:spacing w:after="0" w:afterAutospacing="0" w:line="23" w:lineRule="atLeast"/>
        <w:ind w:left="0" w:firstLine="420"/>
        <w:rPr>
          <w:rFonts w:hint="eastAsia" w:ascii="微软雅黑" w:hAnsi="微软雅黑" w:eastAsia="微软雅黑" w:cs="微软雅黑"/>
          <w:color w:val="484848"/>
          <w:spacing w:val="0"/>
          <w:sz w:val="32"/>
          <w:szCs w:val="32"/>
          <w:highlight w:val="none"/>
        </w:rPr>
      </w:pPr>
      <w:r>
        <w:rPr>
          <w:rFonts w:hint="eastAsia" w:ascii="黑体" w:hAnsi="宋体" w:eastAsia="黑体" w:cs="黑体"/>
          <w:color w:val="484848"/>
          <w:spacing w:val="0"/>
          <w:sz w:val="24"/>
          <w:szCs w:val="24"/>
          <w:highlight w:val="none"/>
        </w:rPr>
        <w:t>第三十六条</w:t>
      </w:r>
      <w:r>
        <w:rPr>
          <w:rFonts w:hint="eastAsia" w:ascii="仿宋" w:hAnsi="仿宋" w:eastAsia="仿宋" w:cs="仿宋"/>
          <w:color w:val="484848"/>
          <w:spacing w:val="0"/>
          <w:sz w:val="24"/>
          <w:szCs w:val="24"/>
          <w:highlight w:val="none"/>
        </w:rPr>
        <w:t>  医疗卫生机构应</w:t>
      </w:r>
      <w:r>
        <w:rPr>
          <w:rFonts w:hint="eastAsia" w:ascii="仿宋" w:hAnsi="仿宋" w:eastAsia="仿宋" w:cs="仿宋"/>
          <w:color w:val="484848"/>
          <w:spacing w:val="0"/>
          <w:sz w:val="24"/>
          <w:szCs w:val="24"/>
          <w:highlight w:val="none"/>
        </w:rPr>
        <w:t>当加强临床研究的安全性评</w:t>
      </w:r>
      <w:r>
        <w:rPr>
          <w:rFonts w:hint="eastAsia" w:ascii="仿宋" w:hAnsi="仿宋" w:eastAsia="仿宋" w:cs="仿宋"/>
          <w:color w:val="484848"/>
          <w:spacing w:val="0"/>
          <w:sz w:val="24"/>
          <w:szCs w:val="24"/>
          <w:highlight w:val="none"/>
        </w:rPr>
        <w:t>价，制定并落实不良事件记录、报告和处理相关的规章制度和规范标准，根据不良事件的性质和严重程度及时作出继续、暂停或者终止已经批准的临床研究的决定，并妥善保障已经入组受试者的权益。</w:t>
      </w:r>
    </w:p>
    <w:p w14:paraId="7C37DF6A">
      <w:pPr>
        <w:pStyle w:val="4"/>
        <w:keepNext w:val="0"/>
        <w:keepLines w:val="0"/>
        <w:widowControl/>
        <w:suppressLineNumbers w:val="0"/>
        <w:spacing w:after="0" w:afterAutospacing="0" w:line="23" w:lineRule="atLeast"/>
        <w:ind w:left="0" w:firstLine="420"/>
        <w:rPr>
          <w:rFonts w:hint="eastAsia" w:ascii="微软雅黑" w:hAnsi="微软雅黑" w:eastAsia="微软雅黑" w:cs="微软雅黑"/>
          <w:color w:val="484848"/>
          <w:spacing w:val="0"/>
          <w:sz w:val="32"/>
          <w:szCs w:val="32"/>
          <w:highlight w:val="none"/>
        </w:rPr>
      </w:pPr>
      <w:r>
        <w:rPr>
          <w:rFonts w:hint="eastAsia" w:ascii="黑体" w:hAnsi="宋体" w:eastAsia="黑体" w:cs="黑体"/>
          <w:color w:val="484848"/>
          <w:spacing w:val="0"/>
          <w:sz w:val="24"/>
          <w:szCs w:val="24"/>
          <w:highlight w:val="none"/>
        </w:rPr>
        <w:t>第三十七条</w:t>
      </w:r>
      <w:r>
        <w:rPr>
          <w:rFonts w:hint="eastAsia" w:ascii="仿宋" w:hAnsi="仿宋" w:eastAsia="仿宋" w:cs="仿宋"/>
          <w:color w:val="484848"/>
          <w:spacing w:val="0"/>
          <w:sz w:val="24"/>
          <w:szCs w:val="24"/>
          <w:highlight w:val="none"/>
        </w:rPr>
        <w:t>  医疗卫生机构应当建立受试者争议和投诉的处理机制，科学判定是否有损害及其产生的原因，合理划分责任，按照约定或有关管理规定，对受到损害的受试者进行合理的补偿或赔偿。</w:t>
      </w:r>
    </w:p>
    <w:p w14:paraId="4010C326">
      <w:pPr>
        <w:pStyle w:val="4"/>
        <w:keepNext w:val="0"/>
        <w:keepLines w:val="0"/>
        <w:widowControl/>
        <w:suppressLineNumbers w:val="0"/>
        <w:spacing w:after="0" w:afterAutospacing="0" w:line="23" w:lineRule="atLeast"/>
        <w:ind w:left="0" w:firstLine="420"/>
        <w:rPr>
          <w:rFonts w:hint="eastAsia" w:ascii="仿宋" w:hAnsi="仿宋" w:eastAsia="仿宋" w:cs="仿宋"/>
          <w:color w:val="484848"/>
          <w:spacing w:val="0"/>
          <w:sz w:val="32"/>
          <w:szCs w:val="32"/>
          <w:highlight w:val="none"/>
        </w:rPr>
      </w:pPr>
      <w:r>
        <w:rPr>
          <w:rFonts w:hint="eastAsia" w:ascii="仿宋" w:hAnsi="仿宋" w:eastAsia="仿宋" w:cs="仿宋"/>
          <w:color w:val="484848"/>
          <w:spacing w:val="0"/>
          <w:sz w:val="24"/>
          <w:szCs w:val="24"/>
          <w:highlight w:val="none"/>
        </w:rPr>
        <w:t>医疗卫生机构应当建立受试者和研究参与者损害风险预防、控制及财务保障机制。</w:t>
      </w:r>
    </w:p>
    <w:p w14:paraId="23FCC778">
      <w:pPr>
        <w:pStyle w:val="4"/>
        <w:keepNext w:val="0"/>
        <w:keepLines w:val="0"/>
        <w:widowControl/>
        <w:suppressLineNumbers w:val="0"/>
        <w:spacing w:after="0" w:afterAutospacing="0" w:line="23" w:lineRule="atLeast"/>
        <w:ind w:left="0" w:firstLine="420"/>
        <w:rPr>
          <w:rFonts w:hint="eastAsia" w:ascii="微软雅黑" w:hAnsi="微软雅黑" w:eastAsia="微软雅黑" w:cs="微软雅黑"/>
          <w:color w:val="484848"/>
          <w:spacing w:val="0"/>
          <w:sz w:val="32"/>
          <w:szCs w:val="32"/>
          <w:highlight w:val="none"/>
        </w:rPr>
      </w:pPr>
      <w:r>
        <w:rPr>
          <w:rFonts w:hint="eastAsia" w:ascii="黑体" w:hAnsi="宋体" w:eastAsia="黑体" w:cs="黑体"/>
          <w:color w:val="484848"/>
          <w:spacing w:val="0"/>
          <w:sz w:val="24"/>
          <w:szCs w:val="24"/>
          <w:highlight w:val="none"/>
        </w:rPr>
        <w:t>第三十八条</w:t>
      </w:r>
      <w:r>
        <w:rPr>
          <w:rFonts w:hint="eastAsia" w:ascii="仿宋" w:hAnsi="仿宋" w:eastAsia="仿宋" w:cs="仿宋"/>
          <w:color w:val="484848"/>
          <w:spacing w:val="0"/>
          <w:sz w:val="24"/>
          <w:szCs w:val="24"/>
          <w:highlight w:val="none"/>
        </w:rPr>
        <w:t>  临床研究过程中出现如下情形之一的，在充分考虑受试者安全的前提下，医疗卫生机构应当</w:t>
      </w:r>
      <w:r>
        <w:rPr>
          <w:rFonts w:hint="eastAsia" w:ascii="仿宋" w:hAnsi="仿宋" w:eastAsia="仿宋" w:cs="仿宋"/>
          <w:color w:val="484848"/>
          <w:spacing w:val="0"/>
          <w:sz w:val="24"/>
          <w:szCs w:val="24"/>
          <w:highlight w:val="none"/>
        </w:rPr>
        <w:t>暂停或者终止研究</w:t>
      </w:r>
      <w:r>
        <w:rPr>
          <w:rFonts w:hint="eastAsia" w:ascii="仿宋" w:hAnsi="仿宋" w:eastAsia="仿宋" w:cs="仿宋"/>
          <w:color w:val="484848"/>
          <w:spacing w:val="0"/>
          <w:sz w:val="24"/>
          <w:szCs w:val="24"/>
          <w:highlight w:val="none"/>
        </w:rPr>
        <w:t>。</w:t>
      </w:r>
    </w:p>
    <w:p w14:paraId="2CA233C7">
      <w:pPr>
        <w:pStyle w:val="4"/>
        <w:keepNext w:val="0"/>
        <w:keepLines w:val="0"/>
        <w:widowControl/>
        <w:suppressLineNumbers w:val="0"/>
        <w:spacing w:after="0" w:afterAutospacing="0" w:line="23" w:lineRule="atLeast"/>
        <w:ind w:left="0" w:firstLine="420"/>
        <w:rPr>
          <w:rFonts w:hint="eastAsia" w:ascii="仿宋" w:hAnsi="仿宋" w:eastAsia="仿宋" w:cs="仿宋"/>
          <w:color w:val="484848"/>
          <w:spacing w:val="0"/>
          <w:sz w:val="32"/>
          <w:szCs w:val="32"/>
          <w:highlight w:val="none"/>
        </w:rPr>
      </w:pPr>
      <w:r>
        <w:rPr>
          <w:rFonts w:hint="eastAsia" w:ascii="仿宋" w:hAnsi="仿宋" w:eastAsia="仿宋" w:cs="仿宋"/>
          <w:color w:val="484848"/>
          <w:spacing w:val="0"/>
          <w:sz w:val="24"/>
          <w:szCs w:val="24"/>
          <w:highlight w:val="none"/>
        </w:rPr>
        <w:t>（一）存在违反法律法规、规章的行为；</w:t>
      </w:r>
    </w:p>
    <w:p w14:paraId="570C4F52">
      <w:pPr>
        <w:pStyle w:val="4"/>
        <w:keepNext w:val="0"/>
        <w:keepLines w:val="0"/>
        <w:widowControl/>
        <w:suppressLineNumbers w:val="0"/>
        <w:spacing w:after="0" w:afterAutospacing="0" w:line="23" w:lineRule="atLeast"/>
        <w:ind w:left="0" w:firstLine="420"/>
        <w:rPr>
          <w:rFonts w:hint="eastAsia" w:ascii="仿宋" w:hAnsi="仿宋" w:eastAsia="仿宋" w:cs="仿宋"/>
          <w:color w:val="484848"/>
          <w:spacing w:val="0"/>
          <w:sz w:val="32"/>
          <w:szCs w:val="32"/>
          <w:highlight w:val="none"/>
        </w:rPr>
      </w:pPr>
      <w:r>
        <w:rPr>
          <w:rFonts w:hint="eastAsia" w:ascii="仿宋" w:hAnsi="仿宋" w:eastAsia="仿宋" w:cs="仿宋"/>
          <w:color w:val="484848"/>
          <w:spacing w:val="0"/>
          <w:sz w:val="24"/>
          <w:szCs w:val="24"/>
          <w:highlight w:val="none"/>
        </w:rPr>
        <w:t>（二）存在违背伦理原则或科研诚信原则的行为；</w:t>
      </w:r>
    </w:p>
    <w:p w14:paraId="10175945">
      <w:pPr>
        <w:pStyle w:val="4"/>
        <w:keepNext w:val="0"/>
        <w:keepLines w:val="0"/>
        <w:widowControl/>
        <w:suppressLineNumbers w:val="0"/>
        <w:spacing w:after="0" w:afterAutospacing="0" w:line="23" w:lineRule="atLeast"/>
        <w:ind w:left="0" w:firstLine="420"/>
        <w:rPr>
          <w:rFonts w:hint="eastAsia" w:ascii="仿宋" w:hAnsi="仿宋" w:eastAsia="仿宋" w:cs="仿宋"/>
          <w:color w:val="484848"/>
          <w:spacing w:val="0"/>
          <w:sz w:val="32"/>
          <w:szCs w:val="32"/>
          <w:highlight w:val="none"/>
        </w:rPr>
      </w:pPr>
      <w:r>
        <w:rPr>
          <w:rFonts w:hint="eastAsia" w:ascii="仿宋" w:hAnsi="仿宋" w:eastAsia="仿宋" w:cs="仿宋"/>
          <w:color w:val="484848"/>
          <w:spacing w:val="0"/>
          <w:sz w:val="24"/>
          <w:szCs w:val="24"/>
          <w:highlight w:val="none"/>
        </w:rPr>
        <w:t>（三）研究过程中发现相关药品、医疗器械可能存在严重质量缺陷；</w:t>
      </w:r>
    </w:p>
    <w:p w14:paraId="5B593148">
      <w:pPr>
        <w:pStyle w:val="4"/>
        <w:keepNext w:val="0"/>
        <w:keepLines w:val="0"/>
        <w:widowControl/>
        <w:suppressLineNumbers w:val="0"/>
        <w:spacing w:after="0" w:afterAutospacing="0" w:line="23" w:lineRule="atLeast"/>
        <w:ind w:left="0" w:firstLine="420"/>
        <w:rPr>
          <w:rFonts w:hint="eastAsia" w:ascii="仿宋" w:hAnsi="仿宋" w:eastAsia="仿宋" w:cs="仿宋"/>
          <w:color w:val="484848"/>
          <w:spacing w:val="0"/>
          <w:sz w:val="32"/>
          <w:szCs w:val="32"/>
          <w:highlight w:val="none"/>
        </w:rPr>
      </w:pPr>
      <w:r>
        <w:rPr>
          <w:rFonts w:hint="eastAsia" w:ascii="仿宋" w:hAnsi="仿宋" w:eastAsia="仿宋" w:cs="仿宋"/>
          <w:color w:val="484848"/>
          <w:spacing w:val="0"/>
          <w:sz w:val="24"/>
          <w:szCs w:val="24"/>
          <w:highlight w:val="none"/>
        </w:rPr>
        <w:t>（四）发现临床研究存在严重安全风险；</w:t>
      </w:r>
    </w:p>
    <w:p w14:paraId="15019F5A">
      <w:pPr>
        <w:pStyle w:val="4"/>
        <w:keepNext w:val="0"/>
        <w:keepLines w:val="0"/>
        <w:widowControl/>
        <w:suppressLineNumbers w:val="0"/>
        <w:spacing w:after="0" w:afterAutospacing="0" w:line="23" w:lineRule="atLeast"/>
        <w:ind w:left="0" w:firstLine="420"/>
        <w:rPr>
          <w:rFonts w:hint="eastAsia" w:ascii="仿宋" w:hAnsi="仿宋" w:eastAsia="仿宋" w:cs="仿宋"/>
          <w:color w:val="484848"/>
          <w:spacing w:val="0"/>
          <w:sz w:val="32"/>
          <w:szCs w:val="32"/>
          <w:highlight w:val="none"/>
        </w:rPr>
      </w:pPr>
      <w:r>
        <w:rPr>
          <w:rFonts w:hint="eastAsia" w:ascii="仿宋" w:hAnsi="仿宋" w:eastAsia="仿宋" w:cs="仿宋"/>
          <w:color w:val="484848"/>
          <w:spacing w:val="0"/>
          <w:sz w:val="24"/>
          <w:szCs w:val="24"/>
          <w:highlight w:val="none"/>
        </w:rPr>
        <w:t>（五）存在商业贿赂或其他不当利益关系；</w:t>
      </w:r>
    </w:p>
    <w:p w14:paraId="36BD809D">
      <w:pPr>
        <w:pStyle w:val="4"/>
        <w:keepNext w:val="0"/>
        <w:keepLines w:val="0"/>
        <w:widowControl/>
        <w:suppressLineNumbers w:val="0"/>
        <w:spacing w:after="0" w:afterAutospacing="0" w:line="23" w:lineRule="atLeast"/>
        <w:ind w:left="0" w:firstLine="420"/>
        <w:rPr>
          <w:rFonts w:hint="eastAsia" w:ascii="仿宋" w:hAnsi="仿宋" w:eastAsia="仿宋" w:cs="仿宋"/>
          <w:color w:val="484848"/>
          <w:spacing w:val="0"/>
          <w:sz w:val="32"/>
          <w:szCs w:val="32"/>
          <w:highlight w:val="none"/>
        </w:rPr>
      </w:pPr>
      <w:r>
        <w:rPr>
          <w:rFonts w:hint="eastAsia" w:ascii="仿宋" w:hAnsi="仿宋" w:eastAsia="仿宋" w:cs="仿宋"/>
          <w:color w:val="484848"/>
          <w:spacing w:val="0"/>
          <w:sz w:val="24"/>
          <w:szCs w:val="24"/>
          <w:highlight w:val="none"/>
        </w:rPr>
        <w:t>（六）违规使用研究经费的行为。</w:t>
      </w:r>
    </w:p>
    <w:p w14:paraId="2F846928">
      <w:pPr>
        <w:pStyle w:val="4"/>
        <w:keepNext w:val="0"/>
        <w:keepLines w:val="0"/>
        <w:widowControl/>
        <w:suppressLineNumbers w:val="0"/>
        <w:spacing w:after="0" w:afterAutospacing="0" w:line="23" w:lineRule="atLeast"/>
        <w:ind w:left="0" w:firstLine="420"/>
        <w:rPr>
          <w:rFonts w:hint="eastAsia" w:ascii="微软雅黑" w:hAnsi="微软雅黑" w:eastAsia="微软雅黑" w:cs="微软雅黑"/>
          <w:color w:val="484848"/>
          <w:spacing w:val="0"/>
          <w:sz w:val="32"/>
          <w:szCs w:val="32"/>
          <w:highlight w:val="none"/>
        </w:rPr>
      </w:pPr>
      <w:r>
        <w:rPr>
          <w:rFonts w:hint="eastAsia" w:ascii="黑体" w:hAnsi="宋体" w:eastAsia="黑体" w:cs="黑体"/>
          <w:color w:val="484848"/>
          <w:spacing w:val="0"/>
          <w:sz w:val="24"/>
          <w:szCs w:val="24"/>
          <w:highlight w:val="none"/>
        </w:rPr>
        <w:t>第三十九条</w:t>
      </w:r>
      <w:r>
        <w:rPr>
          <w:rFonts w:hint="eastAsia" w:ascii="仿宋" w:hAnsi="仿宋" w:eastAsia="仿宋" w:cs="仿宋"/>
          <w:color w:val="484848"/>
          <w:spacing w:val="0"/>
          <w:sz w:val="24"/>
          <w:szCs w:val="24"/>
          <w:highlight w:val="none"/>
        </w:rPr>
        <w:t>  </w:t>
      </w:r>
      <w:r>
        <w:rPr>
          <w:rFonts w:hint="eastAsia" w:ascii="仿宋" w:hAnsi="仿宋" w:eastAsia="仿宋" w:cs="仿宋"/>
          <w:color w:val="484848"/>
          <w:spacing w:val="0"/>
          <w:sz w:val="24"/>
          <w:szCs w:val="24"/>
          <w:highlight w:val="none"/>
        </w:rPr>
        <w:t>医疗卫生机构应当建立临床研究源数据的管理体系</w:t>
      </w:r>
      <w:r>
        <w:rPr>
          <w:rFonts w:hint="eastAsia" w:ascii="仿宋" w:hAnsi="仿宋" w:eastAsia="仿宋" w:cs="仿宋"/>
          <w:color w:val="484848"/>
          <w:spacing w:val="0"/>
          <w:sz w:val="24"/>
          <w:szCs w:val="24"/>
          <w:highlight w:val="none"/>
        </w:rPr>
        <w:t>，鼓励集中统一存储，保障临床研究数据在收集、记录、修改、存储、传输、使用和销毁等全生命周期的真实性、准确性、完整性、规范性、保密性，</w:t>
      </w:r>
      <w:r>
        <w:rPr>
          <w:rFonts w:hint="eastAsia" w:ascii="仿宋" w:hAnsi="仿宋" w:eastAsia="仿宋" w:cs="仿宋"/>
          <w:color w:val="484848"/>
          <w:spacing w:val="0"/>
          <w:sz w:val="24"/>
          <w:szCs w:val="24"/>
          <w:highlight w:val="none"/>
        </w:rPr>
        <w:t>确保数据可查询、可溯源</w:t>
      </w:r>
      <w:r>
        <w:rPr>
          <w:rFonts w:hint="eastAsia" w:ascii="仿宋" w:hAnsi="仿宋" w:eastAsia="仿宋" w:cs="仿宋"/>
          <w:color w:val="484848"/>
          <w:spacing w:val="0"/>
          <w:sz w:val="24"/>
          <w:szCs w:val="24"/>
          <w:highlight w:val="none"/>
        </w:rPr>
        <w:t>。</w:t>
      </w:r>
    </w:p>
    <w:p w14:paraId="2C1BB468">
      <w:pPr>
        <w:pStyle w:val="4"/>
        <w:keepNext w:val="0"/>
        <w:keepLines w:val="0"/>
        <w:widowControl/>
        <w:suppressLineNumbers w:val="0"/>
        <w:spacing w:after="0" w:afterAutospacing="0" w:line="23" w:lineRule="atLeast"/>
        <w:ind w:left="0" w:firstLine="420"/>
        <w:rPr>
          <w:rFonts w:hint="eastAsia" w:ascii="微软雅黑" w:hAnsi="微软雅黑" w:eastAsia="微软雅黑" w:cs="微软雅黑"/>
          <w:color w:val="484848"/>
          <w:spacing w:val="0"/>
          <w:sz w:val="32"/>
          <w:szCs w:val="32"/>
          <w:highlight w:val="none"/>
        </w:rPr>
      </w:pPr>
      <w:r>
        <w:rPr>
          <w:rFonts w:hint="eastAsia" w:ascii="黑体" w:hAnsi="宋体" w:eastAsia="黑体" w:cs="黑体"/>
          <w:color w:val="484848"/>
          <w:spacing w:val="0"/>
          <w:sz w:val="24"/>
          <w:szCs w:val="24"/>
          <w:highlight w:val="none"/>
        </w:rPr>
        <w:t>第四十条</w:t>
      </w:r>
      <w:r>
        <w:rPr>
          <w:rFonts w:hint="eastAsia" w:ascii="仿宋" w:hAnsi="仿宋" w:eastAsia="仿宋" w:cs="仿宋"/>
          <w:color w:val="484848"/>
          <w:spacing w:val="0"/>
          <w:sz w:val="24"/>
          <w:szCs w:val="24"/>
          <w:highlight w:val="none"/>
        </w:rPr>
        <w:t>  医疗卫生机构应当加强临床研究档案管理，如实记录并妥善保管相关档案。自研究结束之日起，</w:t>
      </w:r>
      <w:r>
        <w:rPr>
          <w:rFonts w:hint="eastAsia" w:ascii="仿宋" w:hAnsi="仿宋" w:eastAsia="仿宋" w:cs="仿宋"/>
          <w:color w:val="484848"/>
          <w:spacing w:val="0"/>
          <w:sz w:val="24"/>
          <w:szCs w:val="24"/>
          <w:highlight w:val="none"/>
        </w:rPr>
        <w:t>档案保存年限不少于10年</w:t>
      </w:r>
      <w:r>
        <w:rPr>
          <w:rFonts w:hint="eastAsia" w:ascii="仿宋" w:hAnsi="仿宋" w:eastAsia="仿宋" w:cs="仿宋"/>
          <w:color w:val="484848"/>
          <w:spacing w:val="0"/>
          <w:sz w:val="24"/>
          <w:szCs w:val="24"/>
          <w:highlight w:val="none"/>
        </w:rPr>
        <w:t>。在确保安全的前提下，可以实行电子归档。</w:t>
      </w:r>
    </w:p>
    <w:p w14:paraId="3C01FDF8">
      <w:pPr>
        <w:pStyle w:val="4"/>
        <w:keepNext w:val="0"/>
        <w:keepLines w:val="0"/>
        <w:widowControl/>
        <w:suppressLineNumbers w:val="0"/>
        <w:spacing w:after="0" w:afterAutospacing="0" w:line="23" w:lineRule="atLeast"/>
        <w:ind w:left="0" w:firstLine="420"/>
        <w:rPr>
          <w:rFonts w:hint="eastAsia" w:ascii="微软雅黑" w:hAnsi="微软雅黑" w:eastAsia="微软雅黑" w:cs="微软雅黑"/>
          <w:color w:val="484848"/>
          <w:spacing w:val="0"/>
          <w:sz w:val="32"/>
          <w:szCs w:val="32"/>
          <w:highlight w:val="none"/>
        </w:rPr>
      </w:pPr>
      <w:r>
        <w:rPr>
          <w:rFonts w:hint="eastAsia" w:ascii="黑体" w:hAnsi="宋体" w:eastAsia="黑体" w:cs="黑体"/>
          <w:color w:val="484848"/>
          <w:spacing w:val="0"/>
          <w:sz w:val="24"/>
          <w:szCs w:val="24"/>
          <w:highlight w:val="none"/>
        </w:rPr>
        <w:t>第四十一条</w:t>
      </w:r>
      <w:r>
        <w:rPr>
          <w:rFonts w:hint="eastAsia" w:ascii="仿宋" w:hAnsi="仿宋" w:eastAsia="仿宋" w:cs="仿宋"/>
          <w:color w:val="484848"/>
          <w:spacing w:val="0"/>
          <w:sz w:val="24"/>
          <w:szCs w:val="24"/>
          <w:highlight w:val="none"/>
        </w:rPr>
        <w:t>  临床研究发生启动、方案调整、暂停、终止、完成等情形时，医疗卫生机构和研究者应当在系统及时更新临床研究信息。</w:t>
      </w:r>
    </w:p>
    <w:p w14:paraId="23A153DE">
      <w:pPr>
        <w:pStyle w:val="4"/>
        <w:keepNext w:val="0"/>
        <w:keepLines w:val="0"/>
        <w:widowControl/>
        <w:suppressLineNumbers w:val="0"/>
        <w:spacing w:after="0" w:afterAutospacing="0" w:line="23" w:lineRule="atLeast"/>
        <w:ind w:left="0" w:firstLine="420"/>
        <w:rPr>
          <w:rFonts w:hint="eastAsia" w:ascii="微软雅黑" w:hAnsi="微软雅黑" w:eastAsia="微软雅黑" w:cs="微软雅黑"/>
          <w:color w:val="484848"/>
          <w:spacing w:val="0"/>
          <w:sz w:val="32"/>
          <w:szCs w:val="32"/>
          <w:highlight w:val="none"/>
        </w:rPr>
      </w:pPr>
      <w:r>
        <w:rPr>
          <w:rFonts w:hint="eastAsia" w:ascii="黑体" w:hAnsi="宋体" w:eastAsia="黑体" w:cs="黑体"/>
          <w:color w:val="484848"/>
          <w:spacing w:val="0"/>
          <w:sz w:val="24"/>
          <w:szCs w:val="24"/>
          <w:highlight w:val="none"/>
        </w:rPr>
        <w:t>第四十二条</w:t>
      </w:r>
      <w:r>
        <w:rPr>
          <w:rFonts w:hint="eastAsia" w:ascii="仿宋" w:hAnsi="仿宋" w:eastAsia="仿宋" w:cs="仿宋"/>
          <w:color w:val="484848"/>
          <w:spacing w:val="0"/>
          <w:sz w:val="24"/>
          <w:szCs w:val="24"/>
          <w:highlight w:val="none"/>
        </w:rPr>
        <w:t>  </w:t>
      </w:r>
      <w:r>
        <w:rPr>
          <w:rFonts w:hint="eastAsia" w:ascii="仿宋" w:hAnsi="仿宋" w:eastAsia="仿宋" w:cs="仿宋"/>
          <w:color w:val="484848"/>
          <w:spacing w:val="0"/>
          <w:sz w:val="24"/>
          <w:szCs w:val="24"/>
          <w:highlight w:val="none"/>
        </w:rPr>
        <w:t>临床研究实行结项报告制度</w:t>
      </w:r>
      <w:r>
        <w:rPr>
          <w:rFonts w:hint="eastAsia" w:ascii="仿宋" w:hAnsi="仿宋" w:eastAsia="仿宋" w:cs="仿宋"/>
          <w:color w:val="484848"/>
          <w:spacing w:val="0"/>
          <w:sz w:val="24"/>
          <w:szCs w:val="24"/>
          <w:highlight w:val="none"/>
        </w:rPr>
        <w:t>。临床研究终止或完成时，研究者应当及时分析研究结果，形成全面、客观、准确的研究报告，并如实声明利益冲突情况。</w:t>
      </w:r>
    </w:p>
    <w:p w14:paraId="66320E82">
      <w:pPr>
        <w:pStyle w:val="4"/>
        <w:keepNext w:val="0"/>
        <w:keepLines w:val="0"/>
        <w:widowControl/>
        <w:suppressLineNumbers w:val="0"/>
        <w:spacing w:after="0" w:afterAutospacing="0" w:line="23" w:lineRule="atLeast"/>
        <w:ind w:left="0" w:firstLine="420"/>
        <w:rPr>
          <w:rFonts w:hint="eastAsia" w:ascii="仿宋" w:hAnsi="仿宋" w:eastAsia="仿宋" w:cs="仿宋"/>
          <w:color w:val="484848"/>
          <w:spacing w:val="0"/>
          <w:sz w:val="32"/>
          <w:szCs w:val="32"/>
          <w:highlight w:val="none"/>
        </w:rPr>
      </w:pPr>
      <w:r>
        <w:rPr>
          <w:rFonts w:hint="eastAsia" w:ascii="仿宋" w:hAnsi="仿宋" w:eastAsia="仿宋" w:cs="仿宋"/>
          <w:color w:val="484848"/>
          <w:spacing w:val="0"/>
          <w:sz w:val="24"/>
          <w:szCs w:val="24"/>
          <w:highlight w:val="none"/>
        </w:rPr>
        <w:t>临床研究管理部门应当对研究报告进行审核，并对该临床研究结项。</w:t>
      </w:r>
    </w:p>
    <w:p w14:paraId="164018A0">
      <w:pPr>
        <w:pStyle w:val="4"/>
        <w:keepNext w:val="0"/>
        <w:keepLines w:val="0"/>
        <w:widowControl/>
        <w:suppressLineNumbers w:val="0"/>
        <w:spacing w:after="0" w:afterAutospacing="0" w:line="23" w:lineRule="atLeast"/>
        <w:ind w:left="0" w:firstLine="420"/>
        <w:rPr>
          <w:rFonts w:hint="eastAsia" w:ascii="仿宋" w:hAnsi="仿宋" w:eastAsia="仿宋" w:cs="仿宋"/>
          <w:color w:val="484848"/>
          <w:spacing w:val="0"/>
          <w:sz w:val="32"/>
          <w:szCs w:val="32"/>
          <w:highlight w:val="none"/>
        </w:rPr>
      </w:pPr>
      <w:r>
        <w:rPr>
          <w:rFonts w:hint="eastAsia" w:ascii="仿宋" w:hAnsi="仿宋" w:eastAsia="仿宋" w:cs="仿宋"/>
          <w:color w:val="484848"/>
          <w:spacing w:val="0"/>
          <w:sz w:val="24"/>
          <w:szCs w:val="24"/>
          <w:highlight w:val="none"/>
        </w:rPr>
        <w:t>结项后的研究报告应当在系统上传，并向同行</w:t>
      </w:r>
      <w:r>
        <w:rPr>
          <w:rFonts w:hint="eastAsia" w:ascii="仿宋" w:hAnsi="仿宋" w:eastAsia="仿宋" w:cs="仿宋"/>
          <w:color w:val="484848"/>
          <w:spacing w:val="0"/>
          <w:sz w:val="24"/>
          <w:szCs w:val="24"/>
          <w:highlight w:val="none"/>
        </w:rPr>
        <w:t>公开</w:t>
      </w:r>
      <w:r>
        <w:rPr>
          <w:rFonts w:hint="eastAsia" w:ascii="仿宋" w:hAnsi="仿宋" w:eastAsia="仿宋" w:cs="仿宋"/>
          <w:color w:val="484848"/>
          <w:spacing w:val="0"/>
          <w:sz w:val="24"/>
          <w:szCs w:val="24"/>
          <w:highlight w:val="none"/>
        </w:rPr>
        <w:t>，加强学术交流。</w:t>
      </w:r>
    </w:p>
    <w:p w14:paraId="5ACD08C2">
      <w:pPr>
        <w:pStyle w:val="4"/>
        <w:keepNext w:val="0"/>
        <w:keepLines w:val="0"/>
        <w:widowControl/>
        <w:suppressLineNumbers w:val="0"/>
        <w:spacing w:after="0" w:afterAutospacing="0" w:line="23" w:lineRule="atLeast"/>
        <w:ind w:left="0" w:firstLine="420"/>
        <w:rPr>
          <w:rFonts w:hint="eastAsia" w:ascii="仿宋" w:hAnsi="仿宋" w:eastAsia="仿宋" w:cs="仿宋"/>
          <w:color w:val="484848"/>
          <w:spacing w:val="0"/>
          <w:sz w:val="32"/>
          <w:szCs w:val="32"/>
          <w:highlight w:val="none"/>
        </w:rPr>
      </w:pPr>
      <w:r>
        <w:rPr>
          <w:rFonts w:hint="eastAsia" w:ascii="仿宋" w:hAnsi="仿宋" w:eastAsia="仿宋" w:cs="仿宋"/>
          <w:color w:val="484848"/>
          <w:spacing w:val="0"/>
          <w:sz w:val="24"/>
          <w:szCs w:val="24"/>
          <w:highlight w:val="none"/>
        </w:rPr>
        <w:t> </w:t>
      </w:r>
    </w:p>
    <w:p w14:paraId="5DA4BA7B">
      <w:pPr>
        <w:pStyle w:val="4"/>
        <w:keepNext w:val="0"/>
        <w:keepLines w:val="0"/>
        <w:widowControl/>
        <w:suppressLineNumbers w:val="0"/>
        <w:spacing w:after="0" w:afterAutospacing="0" w:line="23" w:lineRule="atLeast"/>
        <w:jc w:val="center"/>
        <w:rPr>
          <w:rFonts w:hint="eastAsia" w:ascii="微软雅黑" w:hAnsi="微软雅黑" w:eastAsia="微软雅黑" w:cs="微软雅黑"/>
          <w:color w:val="484848"/>
          <w:spacing w:val="0"/>
          <w:sz w:val="32"/>
          <w:szCs w:val="32"/>
          <w:highlight w:val="none"/>
        </w:rPr>
      </w:pPr>
      <w:r>
        <w:rPr>
          <w:rFonts w:hint="eastAsia" w:ascii="黑体" w:hAnsi="宋体" w:eastAsia="黑体" w:cs="黑体"/>
          <w:color w:val="484848"/>
          <w:spacing w:val="0"/>
          <w:sz w:val="24"/>
          <w:szCs w:val="24"/>
          <w:highlight w:val="none"/>
        </w:rPr>
        <w:t>第七章  监督管理</w:t>
      </w:r>
    </w:p>
    <w:p w14:paraId="57E7B75C">
      <w:pPr>
        <w:pStyle w:val="4"/>
        <w:keepNext w:val="0"/>
        <w:keepLines w:val="0"/>
        <w:widowControl/>
        <w:suppressLineNumbers w:val="0"/>
        <w:spacing w:after="0" w:afterAutospacing="0" w:line="23" w:lineRule="atLeast"/>
        <w:ind w:left="0" w:firstLine="420"/>
        <w:rPr>
          <w:rFonts w:hint="eastAsia" w:ascii="微软雅黑" w:hAnsi="微软雅黑" w:eastAsia="微软雅黑" w:cs="微软雅黑"/>
          <w:color w:val="484848"/>
          <w:spacing w:val="0"/>
          <w:sz w:val="32"/>
          <w:szCs w:val="32"/>
          <w:highlight w:val="none"/>
        </w:rPr>
      </w:pPr>
      <w:r>
        <w:rPr>
          <w:rFonts w:hint="eastAsia" w:ascii="黑体" w:hAnsi="宋体" w:eastAsia="黑体" w:cs="黑体"/>
          <w:color w:val="484848"/>
          <w:spacing w:val="0"/>
          <w:sz w:val="24"/>
          <w:szCs w:val="24"/>
          <w:highlight w:val="none"/>
        </w:rPr>
        <w:t>第四十三条</w:t>
      </w:r>
      <w:r>
        <w:rPr>
          <w:rFonts w:hint="eastAsia" w:ascii="仿宋" w:hAnsi="仿宋" w:eastAsia="仿宋" w:cs="仿宋"/>
          <w:color w:val="484848"/>
          <w:spacing w:val="0"/>
          <w:sz w:val="24"/>
          <w:szCs w:val="24"/>
          <w:highlight w:val="none"/>
        </w:rPr>
        <w:t>  省级卫生健康行政部门应当依托系统加强辖区内临床研究的</w:t>
      </w:r>
      <w:r>
        <w:rPr>
          <w:rFonts w:hint="eastAsia" w:ascii="仿宋" w:hAnsi="仿宋" w:eastAsia="仿宋" w:cs="仿宋"/>
          <w:color w:val="484848"/>
          <w:spacing w:val="0"/>
          <w:sz w:val="24"/>
          <w:szCs w:val="24"/>
          <w:highlight w:val="none"/>
        </w:rPr>
        <w:t>监测、评估、分析</w:t>
      </w:r>
      <w:r>
        <w:rPr>
          <w:rFonts w:hint="eastAsia" w:ascii="仿宋" w:hAnsi="仿宋" w:eastAsia="仿宋" w:cs="仿宋"/>
          <w:color w:val="484848"/>
          <w:spacing w:val="0"/>
          <w:sz w:val="24"/>
          <w:szCs w:val="24"/>
          <w:highlight w:val="none"/>
        </w:rPr>
        <w:t>，实施监督管理。跨省域开展的临床研究的监督管理，由牵头医疗卫生机构所在地省级卫生健康行政部门牵头实施，参与医疗卫生机构所在地省级卫生健康行政部门配合实施。</w:t>
      </w:r>
    </w:p>
    <w:p w14:paraId="4273435B">
      <w:pPr>
        <w:pStyle w:val="4"/>
        <w:keepNext w:val="0"/>
        <w:keepLines w:val="0"/>
        <w:widowControl/>
        <w:suppressLineNumbers w:val="0"/>
        <w:spacing w:after="0" w:afterAutospacing="0" w:line="23" w:lineRule="atLeast"/>
        <w:ind w:left="0" w:firstLine="420"/>
        <w:rPr>
          <w:rFonts w:hint="eastAsia" w:ascii="仿宋" w:hAnsi="仿宋" w:eastAsia="仿宋" w:cs="仿宋"/>
          <w:color w:val="484848"/>
          <w:spacing w:val="0"/>
          <w:sz w:val="32"/>
          <w:szCs w:val="32"/>
          <w:highlight w:val="none"/>
        </w:rPr>
      </w:pPr>
      <w:r>
        <w:rPr>
          <w:rFonts w:hint="eastAsia" w:ascii="仿宋" w:hAnsi="仿宋" w:eastAsia="仿宋" w:cs="仿宋"/>
          <w:color w:val="484848"/>
          <w:spacing w:val="0"/>
          <w:sz w:val="24"/>
          <w:szCs w:val="24"/>
          <w:highlight w:val="none"/>
        </w:rPr>
        <w:t>省级卫生健康行政部门发现医疗卫生机构违反本办法规定，应当要求其立即改正，停止违规开展的研究、妥善保护研究参与者权益；发现医疗卫生机构临床研究管理体系及临床研究过程管理存在系统性、结构性问题，应当要求医疗卫生机构暂停所有临床研究，</w:t>
      </w:r>
      <w:r>
        <w:rPr>
          <w:rFonts w:hint="eastAsia" w:ascii="仿宋" w:hAnsi="仿宋" w:eastAsia="仿宋" w:cs="仿宋"/>
          <w:color w:val="484848"/>
          <w:spacing w:val="0"/>
          <w:sz w:val="24"/>
          <w:szCs w:val="24"/>
          <w:highlight w:val="none"/>
        </w:rPr>
        <w:t>进行整改</w:t>
      </w:r>
      <w:r>
        <w:rPr>
          <w:rFonts w:hint="eastAsia" w:ascii="仿宋" w:hAnsi="仿宋" w:eastAsia="仿宋" w:cs="仿宋"/>
          <w:color w:val="484848"/>
          <w:spacing w:val="0"/>
          <w:sz w:val="24"/>
          <w:szCs w:val="24"/>
          <w:highlight w:val="none"/>
        </w:rPr>
        <w:t>；并按照相关法律法规给予行政处罚及处分。有关监督检查情况，应当定期通报。</w:t>
      </w:r>
    </w:p>
    <w:p w14:paraId="6C06A34E">
      <w:pPr>
        <w:pStyle w:val="4"/>
        <w:keepNext w:val="0"/>
        <w:keepLines w:val="0"/>
        <w:widowControl/>
        <w:suppressLineNumbers w:val="0"/>
        <w:spacing w:after="0" w:afterAutospacing="0" w:line="23" w:lineRule="atLeast"/>
        <w:ind w:left="0" w:firstLine="420"/>
        <w:rPr>
          <w:rFonts w:hint="eastAsia" w:ascii="仿宋" w:hAnsi="仿宋" w:eastAsia="仿宋" w:cs="仿宋"/>
          <w:color w:val="484848"/>
          <w:spacing w:val="0"/>
          <w:sz w:val="32"/>
          <w:szCs w:val="32"/>
          <w:highlight w:val="none"/>
        </w:rPr>
      </w:pPr>
      <w:r>
        <w:rPr>
          <w:rFonts w:hint="eastAsia" w:ascii="仿宋" w:hAnsi="仿宋" w:eastAsia="仿宋" w:cs="仿宋"/>
          <w:color w:val="484848"/>
          <w:spacing w:val="0"/>
          <w:sz w:val="24"/>
          <w:szCs w:val="24"/>
          <w:highlight w:val="none"/>
        </w:rPr>
        <w:t>被要求停止的临床研究，由省级卫生健康行政部门在</w:t>
      </w:r>
      <w:r>
        <w:rPr>
          <w:rFonts w:hint="eastAsia" w:ascii="仿宋" w:hAnsi="仿宋" w:eastAsia="仿宋" w:cs="仿宋"/>
          <w:color w:val="484848"/>
          <w:spacing w:val="0"/>
          <w:sz w:val="24"/>
          <w:szCs w:val="24"/>
          <w:highlight w:val="none"/>
        </w:rPr>
        <w:t>系统更新</w:t>
      </w:r>
      <w:r>
        <w:rPr>
          <w:rFonts w:hint="eastAsia" w:ascii="仿宋" w:hAnsi="仿宋" w:eastAsia="仿宋" w:cs="仿宋"/>
          <w:color w:val="484848"/>
          <w:spacing w:val="0"/>
          <w:sz w:val="24"/>
          <w:szCs w:val="24"/>
          <w:highlight w:val="none"/>
        </w:rPr>
        <w:t>该临床研究有关行政监管信息并予以公布。</w:t>
      </w:r>
    </w:p>
    <w:p w14:paraId="29020E66">
      <w:pPr>
        <w:pStyle w:val="4"/>
        <w:keepNext w:val="0"/>
        <w:keepLines w:val="0"/>
        <w:widowControl/>
        <w:suppressLineNumbers w:val="0"/>
        <w:spacing w:after="0" w:afterAutospacing="0" w:line="23" w:lineRule="atLeast"/>
        <w:ind w:left="0" w:firstLine="420"/>
        <w:rPr>
          <w:rFonts w:hint="eastAsia" w:ascii="微软雅黑" w:hAnsi="微软雅黑" w:eastAsia="微软雅黑" w:cs="微软雅黑"/>
          <w:color w:val="484848"/>
          <w:spacing w:val="0"/>
          <w:sz w:val="32"/>
          <w:szCs w:val="32"/>
          <w:highlight w:val="none"/>
        </w:rPr>
      </w:pPr>
      <w:r>
        <w:rPr>
          <w:rFonts w:hint="eastAsia" w:ascii="黑体" w:hAnsi="宋体" w:eastAsia="黑体" w:cs="黑体"/>
          <w:color w:val="484848"/>
          <w:spacing w:val="0"/>
          <w:sz w:val="24"/>
          <w:szCs w:val="24"/>
          <w:highlight w:val="none"/>
        </w:rPr>
        <w:t>第四十四条</w:t>
      </w:r>
      <w:r>
        <w:rPr>
          <w:rFonts w:hint="eastAsia" w:ascii="仿宋" w:hAnsi="仿宋" w:eastAsia="仿宋" w:cs="仿宋"/>
          <w:color w:val="484848"/>
          <w:spacing w:val="0"/>
          <w:sz w:val="24"/>
          <w:szCs w:val="24"/>
          <w:highlight w:val="none"/>
        </w:rPr>
        <w:t>  省级及以上卫生健康行政部门设立的专家委员会或其遴选的专业机构，应当依托系统对辖区内医疗卫生机构开展的临床研究进行技术核查，对</w:t>
      </w:r>
      <w:r>
        <w:rPr>
          <w:rFonts w:hint="eastAsia" w:ascii="仿宋" w:hAnsi="仿宋" w:eastAsia="仿宋" w:cs="仿宋"/>
          <w:color w:val="484848"/>
          <w:spacing w:val="0"/>
          <w:sz w:val="24"/>
          <w:szCs w:val="24"/>
          <w:highlight w:val="none"/>
        </w:rPr>
        <w:t>科学性不</w:t>
      </w:r>
      <w:r>
        <w:rPr>
          <w:rFonts w:hint="eastAsia" w:ascii="仿宋" w:hAnsi="仿宋" w:eastAsia="仿宋" w:cs="仿宋"/>
          <w:color w:val="484848"/>
          <w:spacing w:val="0"/>
          <w:sz w:val="24"/>
          <w:szCs w:val="24"/>
          <w:highlight w:val="none"/>
        </w:rPr>
        <w:t>强、</w:t>
      </w:r>
      <w:r>
        <w:rPr>
          <w:rFonts w:hint="eastAsia" w:ascii="仿宋" w:hAnsi="仿宋" w:eastAsia="仿宋" w:cs="仿宋"/>
          <w:color w:val="484848"/>
          <w:spacing w:val="0"/>
          <w:sz w:val="24"/>
          <w:szCs w:val="24"/>
          <w:highlight w:val="none"/>
        </w:rPr>
        <w:t>伦理不合规</w:t>
      </w:r>
      <w:r>
        <w:rPr>
          <w:rFonts w:hint="eastAsia" w:ascii="仿宋" w:hAnsi="仿宋" w:eastAsia="仿宋" w:cs="仿宋"/>
          <w:color w:val="484848"/>
          <w:spacing w:val="0"/>
          <w:sz w:val="24"/>
          <w:szCs w:val="24"/>
          <w:highlight w:val="none"/>
        </w:rPr>
        <w:t>、</w:t>
      </w:r>
      <w:r>
        <w:rPr>
          <w:rFonts w:hint="eastAsia" w:ascii="仿宋" w:hAnsi="仿宋" w:eastAsia="仿宋" w:cs="仿宋"/>
          <w:color w:val="484848"/>
          <w:spacing w:val="0"/>
          <w:sz w:val="24"/>
          <w:szCs w:val="24"/>
          <w:highlight w:val="none"/>
        </w:rPr>
        <w:t>研究过程管理不规范以及违反本办法有关规定的</w:t>
      </w:r>
      <w:r>
        <w:rPr>
          <w:rFonts w:hint="eastAsia" w:ascii="仿宋" w:hAnsi="仿宋" w:eastAsia="仿宋" w:cs="仿宋"/>
          <w:color w:val="484848"/>
          <w:spacing w:val="0"/>
          <w:sz w:val="24"/>
          <w:szCs w:val="24"/>
          <w:highlight w:val="none"/>
        </w:rPr>
        <w:t>，应当及时建议其所在医疗卫生机构暂停或终止相关研究、妥善保护有关受试者的合法权益；发现医疗卫生机构临床研究技术管理体系及临床研究技术管理存在系统性、结构性问题，应当建议医疗卫生机构暂停所有临床研究，进行整改。</w:t>
      </w:r>
    </w:p>
    <w:p w14:paraId="0B343330">
      <w:pPr>
        <w:pStyle w:val="4"/>
        <w:keepNext w:val="0"/>
        <w:keepLines w:val="0"/>
        <w:widowControl/>
        <w:suppressLineNumbers w:val="0"/>
        <w:spacing w:after="0" w:afterAutospacing="0" w:line="23" w:lineRule="atLeast"/>
        <w:ind w:left="0" w:firstLine="420"/>
        <w:rPr>
          <w:rFonts w:hint="eastAsia" w:ascii="仿宋" w:hAnsi="仿宋" w:eastAsia="仿宋" w:cs="仿宋"/>
          <w:color w:val="484848"/>
          <w:spacing w:val="0"/>
          <w:sz w:val="32"/>
          <w:szCs w:val="32"/>
          <w:highlight w:val="none"/>
        </w:rPr>
      </w:pPr>
      <w:r>
        <w:rPr>
          <w:rFonts w:hint="eastAsia" w:ascii="仿宋" w:hAnsi="仿宋" w:eastAsia="仿宋" w:cs="仿宋"/>
          <w:color w:val="484848"/>
          <w:spacing w:val="0"/>
          <w:sz w:val="24"/>
          <w:szCs w:val="24"/>
          <w:highlight w:val="none"/>
        </w:rPr>
        <w:t>有关</w:t>
      </w:r>
      <w:r>
        <w:rPr>
          <w:rFonts w:hint="eastAsia" w:ascii="仿宋" w:hAnsi="仿宋" w:eastAsia="仿宋" w:cs="仿宋"/>
          <w:color w:val="484848"/>
          <w:spacing w:val="0"/>
          <w:sz w:val="24"/>
          <w:szCs w:val="24"/>
          <w:highlight w:val="none"/>
        </w:rPr>
        <w:t>技术核查情况</w:t>
      </w:r>
      <w:r>
        <w:rPr>
          <w:rFonts w:hint="eastAsia" w:ascii="仿宋" w:hAnsi="仿宋" w:eastAsia="仿宋" w:cs="仿宋"/>
          <w:color w:val="484848"/>
          <w:spacing w:val="0"/>
          <w:sz w:val="24"/>
          <w:szCs w:val="24"/>
          <w:highlight w:val="none"/>
        </w:rPr>
        <w:t>，应向有关卫生健康行政部门反馈并提出处理建议，定期向辖区医疗卫生机构通报。</w:t>
      </w:r>
    </w:p>
    <w:p w14:paraId="67EC0C59">
      <w:pPr>
        <w:pStyle w:val="4"/>
        <w:keepNext w:val="0"/>
        <w:keepLines w:val="0"/>
        <w:widowControl/>
        <w:suppressLineNumbers w:val="0"/>
        <w:spacing w:after="0" w:afterAutospacing="0" w:line="23" w:lineRule="atLeast"/>
        <w:ind w:left="0" w:firstLine="420"/>
        <w:rPr>
          <w:rFonts w:hint="eastAsia" w:ascii="微软雅黑" w:hAnsi="微软雅黑" w:eastAsia="微软雅黑" w:cs="微软雅黑"/>
          <w:color w:val="484848"/>
          <w:spacing w:val="0"/>
          <w:sz w:val="32"/>
          <w:szCs w:val="32"/>
          <w:highlight w:val="none"/>
        </w:rPr>
      </w:pPr>
      <w:r>
        <w:rPr>
          <w:rFonts w:hint="eastAsia" w:ascii="黑体" w:hAnsi="宋体" w:eastAsia="黑体" w:cs="黑体"/>
          <w:color w:val="484848"/>
          <w:spacing w:val="0"/>
          <w:sz w:val="24"/>
          <w:szCs w:val="24"/>
          <w:highlight w:val="none"/>
        </w:rPr>
        <w:t>第四十五条</w:t>
      </w:r>
      <w:r>
        <w:rPr>
          <w:rStyle w:val="7"/>
          <w:rFonts w:hint="eastAsia" w:ascii="仿宋" w:hAnsi="仿宋" w:eastAsia="仿宋" w:cs="仿宋"/>
          <w:color w:val="484848"/>
          <w:spacing w:val="0"/>
          <w:sz w:val="24"/>
          <w:szCs w:val="24"/>
          <w:highlight w:val="none"/>
        </w:rPr>
        <w:t>  </w:t>
      </w:r>
      <w:r>
        <w:rPr>
          <w:rFonts w:hint="eastAsia" w:ascii="仿宋" w:hAnsi="仿宋" w:eastAsia="仿宋" w:cs="仿宋"/>
          <w:color w:val="484848"/>
          <w:spacing w:val="0"/>
          <w:sz w:val="24"/>
          <w:szCs w:val="24"/>
          <w:highlight w:val="none"/>
        </w:rPr>
        <w:t>医疗卫生机构</w:t>
      </w:r>
      <w:r>
        <w:rPr>
          <w:rFonts w:hint="eastAsia" w:ascii="仿宋" w:hAnsi="仿宋" w:eastAsia="仿宋" w:cs="仿宋"/>
          <w:color w:val="484848"/>
          <w:spacing w:val="0"/>
          <w:sz w:val="24"/>
          <w:szCs w:val="24"/>
          <w:highlight w:val="none"/>
        </w:rPr>
        <w:t>应当加强本机构开展临床研究情况的</w:t>
      </w:r>
      <w:r>
        <w:rPr>
          <w:rFonts w:hint="eastAsia" w:ascii="仿宋" w:hAnsi="仿宋" w:eastAsia="仿宋" w:cs="仿宋"/>
          <w:color w:val="484848"/>
          <w:spacing w:val="0"/>
          <w:sz w:val="24"/>
          <w:szCs w:val="24"/>
          <w:highlight w:val="none"/>
        </w:rPr>
        <w:t>监督检查</w:t>
      </w:r>
      <w:r>
        <w:rPr>
          <w:rFonts w:hint="eastAsia" w:ascii="仿宋" w:hAnsi="仿宋" w:eastAsia="仿宋" w:cs="仿宋"/>
          <w:color w:val="484848"/>
          <w:spacing w:val="0"/>
          <w:sz w:val="24"/>
          <w:szCs w:val="24"/>
          <w:highlight w:val="none"/>
        </w:rPr>
        <w:t>，发现研究者擅自开展临床研究、实质性调整研究方案未经医疗卫生机构批准或者违规收受临床研究经费等，应当按照有关规定处理。</w:t>
      </w:r>
    </w:p>
    <w:p w14:paraId="469D019C">
      <w:pPr>
        <w:pStyle w:val="4"/>
        <w:keepNext w:val="0"/>
        <w:keepLines w:val="0"/>
        <w:widowControl/>
        <w:suppressLineNumbers w:val="0"/>
        <w:spacing w:after="0" w:afterAutospacing="0" w:line="23" w:lineRule="atLeast"/>
        <w:ind w:left="0" w:firstLine="420"/>
        <w:rPr>
          <w:rFonts w:hint="eastAsia" w:ascii="微软雅黑" w:hAnsi="微软雅黑" w:eastAsia="微软雅黑" w:cs="微软雅黑"/>
          <w:color w:val="484848"/>
          <w:spacing w:val="0"/>
          <w:sz w:val="32"/>
          <w:szCs w:val="32"/>
          <w:highlight w:val="none"/>
        </w:rPr>
      </w:pPr>
      <w:r>
        <w:rPr>
          <w:rFonts w:hint="eastAsia" w:ascii="黑体" w:hAnsi="宋体" w:eastAsia="黑体" w:cs="黑体"/>
          <w:color w:val="484848"/>
          <w:spacing w:val="0"/>
          <w:sz w:val="24"/>
          <w:szCs w:val="24"/>
          <w:highlight w:val="none"/>
        </w:rPr>
        <w:t>第四十六条</w:t>
      </w:r>
      <w:r>
        <w:rPr>
          <w:rFonts w:hint="eastAsia" w:ascii="仿宋" w:hAnsi="仿宋" w:eastAsia="仿宋" w:cs="仿宋"/>
          <w:color w:val="484848"/>
          <w:spacing w:val="0"/>
          <w:sz w:val="24"/>
          <w:szCs w:val="24"/>
          <w:highlight w:val="none"/>
        </w:rPr>
        <w:t>  未经医疗卫生机构批准，研究者擅自开展临床研究、调整已批准研究方案或者违规收受临床研究经费的，省级卫生健康行政部门和医疗卫生机构应当按照相关规定予以相应处理；医疗卫生机构未履行监督管理职责的，由相关卫生健康行政部门依法处理。构成犯罪的，移交司法机关依法处理。</w:t>
      </w:r>
    </w:p>
    <w:p w14:paraId="36D66CA7">
      <w:pPr>
        <w:pStyle w:val="4"/>
        <w:keepNext w:val="0"/>
        <w:keepLines w:val="0"/>
        <w:widowControl/>
        <w:suppressLineNumbers w:val="0"/>
        <w:spacing w:after="0" w:afterAutospacing="0" w:line="23" w:lineRule="atLeast"/>
        <w:ind w:left="0" w:firstLine="420"/>
        <w:rPr>
          <w:rFonts w:hint="eastAsia" w:ascii="仿宋" w:hAnsi="仿宋" w:eastAsia="仿宋" w:cs="仿宋"/>
          <w:color w:val="484848"/>
          <w:spacing w:val="0"/>
          <w:sz w:val="32"/>
          <w:szCs w:val="32"/>
          <w:highlight w:val="none"/>
        </w:rPr>
      </w:pPr>
      <w:r>
        <w:rPr>
          <w:rFonts w:hint="eastAsia" w:ascii="仿宋" w:hAnsi="仿宋" w:eastAsia="仿宋" w:cs="仿宋"/>
          <w:color w:val="484848"/>
          <w:spacing w:val="0"/>
          <w:sz w:val="24"/>
          <w:szCs w:val="24"/>
          <w:highlight w:val="none"/>
        </w:rPr>
        <w:t> </w:t>
      </w:r>
    </w:p>
    <w:p w14:paraId="3E506529">
      <w:pPr>
        <w:pStyle w:val="4"/>
        <w:keepNext w:val="0"/>
        <w:keepLines w:val="0"/>
        <w:widowControl/>
        <w:suppressLineNumbers w:val="0"/>
        <w:spacing w:after="0" w:afterAutospacing="0" w:line="23" w:lineRule="atLeast"/>
        <w:jc w:val="center"/>
        <w:rPr>
          <w:rFonts w:hint="eastAsia" w:ascii="微软雅黑" w:hAnsi="微软雅黑" w:eastAsia="微软雅黑" w:cs="微软雅黑"/>
          <w:color w:val="484848"/>
          <w:spacing w:val="0"/>
          <w:sz w:val="32"/>
          <w:szCs w:val="32"/>
          <w:highlight w:val="none"/>
        </w:rPr>
      </w:pPr>
      <w:r>
        <w:rPr>
          <w:rFonts w:hint="eastAsia" w:ascii="黑体" w:hAnsi="宋体" w:eastAsia="黑体" w:cs="黑体"/>
          <w:color w:val="484848"/>
          <w:spacing w:val="0"/>
          <w:sz w:val="24"/>
          <w:szCs w:val="24"/>
          <w:highlight w:val="none"/>
        </w:rPr>
        <w:t>第八章  附 则</w:t>
      </w:r>
    </w:p>
    <w:p w14:paraId="2180E505">
      <w:pPr>
        <w:pStyle w:val="4"/>
        <w:keepNext w:val="0"/>
        <w:keepLines w:val="0"/>
        <w:widowControl/>
        <w:suppressLineNumbers w:val="0"/>
        <w:spacing w:after="0" w:afterAutospacing="0" w:line="23" w:lineRule="atLeast"/>
        <w:ind w:left="0" w:firstLine="420"/>
        <w:rPr>
          <w:rFonts w:hint="eastAsia" w:ascii="微软雅黑" w:hAnsi="微软雅黑" w:eastAsia="微软雅黑" w:cs="微软雅黑"/>
          <w:color w:val="484848"/>
          <w:spacing w:val="0"/>
          <w:sz w:val="32"/>
          <w:szCs w:val="32"/>
          <w:highlight w:val="none"/>
        </w:rPr>
      </w:pPr>
      <w:r>
        <w:rPr>
          <w:rFonts w:hint="eastAsia" w:ascii="黑体" w:hAnsi="宋体" w:eastAsia="黑体" w:cs="黑体"/>
          <w:color w:val="484848"/>
          <w:spacing w:val="0"/>
          <w:sz w:val="24"/>
          <w:szCs w:val="24"/>
          <w:highlight w:val="none"/>
        </w:rPr>
        <w:t>第四十七条</w:t>
      </w:r>
      <w:r>
        <w:rPr>
          <w:rFonts w:hint="eastAsia" w:ascii="仿宋" w:hAnsi="仿宋" w:eastAsia="仿宋" w:cs="仿宋"/>
          <w:color w:val="484848"/>
          <w:spacing w:val="0"/>
          <w:sz w:val="24"/>
          <w:szCs w:val="24"/>
          <w:highlight w:val="none"/>
        </w:rPr>
        <w:t>  干细胞临床研究按照《干细胞临床研究管理办法（试行）》管理。研究者发起的体细胞临床研究等参照《干细胞临床研究管理办法（试行）》管理。</w:t>
      </w:r>
    </w:p>
    <w:p w14:paraId="5CE5A9F7">
      <w:pPr>
        <w:pStyle w:val="4"/>
        <w:keepNext w:val="0"/>
        <w:keepLines w:val="0"/>
        <w:widowControl/>
        <w:suppressLineNumbers w:val="0"/>
        <w:spacing w:after="0" w:afterAutospacing="0" w:line="23" w:lineRule="atLeast"/>
        <w:ind w:left="0" w:firstLine="420"/>
        <w:rPr>
          <w:rFonts w:hint="eastAsia" w:ascii="微软雅黑" w:hAnsi="微软雅黑" w:eastAsia="微软雅黑" w:cs="微软雅黑"/>
          <w:color w:val="484848"/>
          <w:spacing w:val="0"/>
          <w:sz w:val="32"/>
          <w:szCs w:val="32"/>
          <w:highlight w:val="none"/>
        </w:rPr>
      </w:pPr>
      <w:r>
        <w:rPr>
          <w:rFonts w:hint="eastAsia" w:ascii="黑体" w:hAnsi="宋体" w:eastAsia="黑体" w:cs="黑体"/>
          <w:color w:val="484848"/>
          <w:spacing w:val="0"/>
          <w:sz w:val="24"/>
          <w:szCs w:val="24"/>
          <w:highlight w:val="none"/>
        </w:rPr>
        <w:t>第四十八条</w:t>
      </w:r>
      <w:r>
        <w:rPr>
          <w:rFonts w:hint="eastAsia" w:ascii="仿宋" w:hAnsi="仿宋" w:eastAsia="仿宋" w:cs="仿宋"/>
          <w:color w:val="484848"/>
          <w:spacing w:val="0"/>
          <w:sz w:val="24"/>
          <w:szCs w:val="24"/>
          <w:highlight w:val="none"/>
        </w:rPr>
        <w:t>  中医临床研究的管理办法由国家中医药管理局另行制定。</w:t>
      </w:r>
    </w:p>
    <w:p w14:paraId="03C7E5F1">
      <w:pPr>
        <w:pStyle w:val="4"/>
        <w:keepNext w:val="0"/>
        <w:keepLines w:val="0"/>
        <w:widowControl/>
        <w:suppressLineNumbers w:val="0"/>
        <w:spacing w:after="0" w:afterAutospacing="0" w:line="23" w:lineRule="atLeast"/>
        <w:ind w:left="0" w:firstLine="420"/>
        <w:rPr>
          <w:rFonts w:hint="eastAsia" w:ascii="微软雅黑" w:hAnsi="微软雅黑" w:eastAsia="微软雅黑" w:cs="微软雅黑"/>
          <w:color w:val="484848"/>
          <w:spacing w:val="0"/>
          <w:sz w:val="32"/>
          <w:szCs w:val="32"/>
          <w:highlight w:val="none"/>
        </w:rPr>
      </w:pPr>
      <w:r>
        <w:rPr>
          <w:rFonts w:hint="eastAsia" w:ascii="黑体" w:hAnsi="宋体" w:eastAsia="黑体" w:cs="黑体"/>
          <w:color w:val="484848"/>
          <w:spacing w:val="0"/>
          <w:sz w:val="24"/>
          <w:szCs w:val="24"/>
          <w:highlight w:val="none"/>
        </w:rPr>
        <w:t>第四十九条</w:t>
      </w:r>
      <w:r>
        <w:rPr>
          <w:rFonts w:hint="eastAsia" w:ascii="仿宋" w:hAnsi="仿宋" w:eastAsia="仿宋" w:cs="仿宋"/>
          <w:color w:val="484848"/>
          <w:spacing w:val="0"/>
          <w:sz w:val="24"/>
          <w:szCs w:val="24"/>
          <w:highlight w:val="none"/>
        </w:rPr>
        <w:t>  本办法自2024年10月1日起施行，此前发布的有关规定，与本办法不一致的，以本办法为准。</w:t>
      </w:r>
    </w:p>
    <w:p w14:paraId="3FFE990C">
      <w:pPr>
        <w:pStyle w:val="4"/>
        <w:keepNext w:val="0"/>
        <w:keepLines w:val="0"/>
        <w:widowControl/>
        <w:suppressLineNumbers w:val="0"/>
        <w:rPr>
          <w:highlight w:val="none"/>
        </w:rPr>
      </w:pPr>
    </w:p>
    <w:p w14:paraId="644E73DD">
      <w:pPr>
        <w:pStyle w:val="4"/>
        <w:keepNext w:val="0"/>
        <w:keepLines w:val="0"/>
        <w:widowControl/>
        <w:suppressLineNumbers w:val="0"/>
        <w:ind w:left="0" w:firstLine="420"/>
        <w:rPr>
          <w:highlight w:val="none"/>
        </w:rPr>
      </w:pPr>
      <w:r>
        <w:rPr>
          <w:highlight w:val="none"/>
        </w:rPr>
        <w:t>2021年7月21日，国家卫生健康委发布了《国家卫生健康委关于开展医疗卫生机构临床研究规范管理试点工作的通知》，在北京、上海、广东和海南省试点实施《医疗卫生机构开展研究者发起的临床研究管理办法（试行）》，2021年10月1日起试行。</w:t>
      </w:r>
    </w:p>
    <w:p w14:paraId="044C9070">
      <w:pPr>
        <w:pStyle w:val="4"/>
        <w:keepNext w:val="0"/>
        <w:keepLines w:val="0"/>
        <w:widowControl/>
        <w:suppressLineNumbers w:val="0"/>
        <w:ind w:left="0" w:firstLine="420"/>
        <w:rPr>
          <w:highlight w:val="none"/>
        </w:rPr>
      </w:pPr>
      <w:r>
        <w:rPr>
          <w:highlight w:val="none"/>
        </w:rPr>
        <w:t>2024年9月18日，国家卫生健康委员会、国家中医药管理局和国家疾病预防控制局联合印发了《医疗卫生机构开展研究者发起的临床研究管理办法》，2024年10月1日起施行。</w:t>
      </w:r>
    </w:p>
    <w:p w14:paraId="2151F4E6">
      <w:pPr>
        <w:pStyle w:val="4"/>
        <w:keepNext w:val="0"/>
        <w:keepLines w:val="0"/>
        <w:widowControl/>
        <w:suppressLineNumbers w:val="0"/>
        <w:jc w:val="center"/>
        <w:rPr>
          <w:highlight w:val="none"/>
        </w:rPr>
      </w:pPr>
      <w:r>
        <w:rPr>
          <w:highlight w:val="none"/>
        </w:rPr>
        <w:t>广东省临床研究质量控制中心办公室</w:t>
      </w:r>
      <w:r>
        <w:rPr>
          <w:highlight w:val="none"/>
        </w:rPr>
        <w:t>为大家整理了IIT管理办法试行版和正式版对照表</w:t>
      </w:r>
    </w:p>
    <w:p w14:paraId="0046C96A">
      <w:pPr>
        <w:pStyle w:val="4"/>
        <w:keepNext w:val="0"/>
        <w:keepLines w:val="0"/>
        <w:widowControl/>
        <w:suppressLineNumbers w:val="0"/>
        <w:rPr>
          <w:highlight w:val="none"/>
        </w:rPr>
      </w:pPr>
    </w:p>
    <w:tbl>
      <w:tblPr>
        <w:tblStyle w:val="5"/>
        <w:tblW w:w="5397"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991"/>
        <w:gridCol w:w="5477"/>
      </w:tblGrid>
      <w:tr w14:paraId="25A2C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jc w:val="center"/>
        </w:trPr>
        <w:tc>
          <w:tcPr>
            <w:tcW w:w="2362" w:type="pct"/>
            <w:tcBorders>
              <w:top w:val="nil"/>
              <w:left w:val="nil"/>
              <w:bottom w:val="nil"/>
              <w:right w:val="nil"/>
            </w:tcBorders>
            <w:shd w:val="clear" w:color="auto" w:fill="FAFFC8"/>
            <w:tcMar>
              <w:top w:w="0" w:type="dxa"/>
              <w:left w:w="0" w:type="dxa"/>
              <w:bottom w:w="0" w:type="dxa"/>
              <w:right w:w="0" w:type="dxa"/>
            </w:tcMar>
            <w:vAlign w:val="top"/>
          </w:tcPr>
          <w:p w14:paraId="46037A58">
            <w:pPr>
              <w:pStyle w:val="4"/>
              <w:keepNext w:val="0"/>
              <w:keepLines w:val="0"/>
              <w:widowControl/>
              <w:suppressLineNumbers w:val="0"/>
              <w:rPr>
                <w:highlight w:val="none"/>
              </w:rPr>
            </w:pPr>
            <w:r>
              <w:rPr>
                <w:rStyle w:val="7"/>
                <w:highlight w:val="none"/>
              </w:rPr>
              <w:t>医疗卫生机构开展研究者发起的临床研究管理办法</w:t>
            </w:r>
          </w:p>
          <w:p w14:paraId="49C532A2">
            <w:pPr>
              <w:pStyle w:val="4"/>
              <w:keepNext w:val="0"/>
              <w:keepLines w:val="0"/>
              <w:widowControl/>
              <w:suppressLineNumbers w:val="0"/>
              <w:rPr>
                <w:highlight w:val="none"/>
              </w:rPr>
            </w:pPr>
            <w:r>
              <w:rPr>
                <w:rStyle w:val="7"/>
                <w:highlight w:val="none"/>
              </w:rPr>
              <w:t>（试行）</w:t>
            </w:r>
          </w:p>
        </w:tc>
        <w:tc>
          <w:tcPr>
            <w:tcW w:w="2594" w:type="pct"/>
            <w:tcBorders>
              <w:top w:val="nil"/>
              <w:left w:val="nil"/>
              <w:bottom w:val="nil"/>
              <w:right w:val="nil"/>
            </w:tcBorders>
            <w:shd w:val="clear" w:color="auto" w:fill="E1FFC8"/>
            <w:tcMar>
              <w:top w:w="0" w:type="dxa"/>
              <w:left w:w="0" w:type="dxa"/>
              <w:bottom w:w="0" w:type="dxa"/>
              <w:right w:w="0" w:type="dxa"/>
            </w:tcMar>
            <w:vAlign w:val="top"/>
          </w:tcPr>
          <w:p w14:paraId="1D867115">
            <w:pPr>
              <w:pStyle w:val="4"/>
              <w:keepNext w:val="0"/>
              <w:keepLines w:val="0"/>
              <w:widowControl/>
              <w:suppressLineNumbers w:val="0"/>
              <w:jc w:val="center"/>
              <w:rPr>
                <w:highlight w:val="none"/>
              </w:rPr>
            </w:pPr>
            <w:r>
              <w:rPr>
                <w:rStyle w:val="7"/>
                <w:highlight w:val="none"/>
              </w:rPr>
              <w:t>医疗卫生机构开展研究者发起的临床研究管理办法</w:t>
            </w:r>
          </w:p>
        </w:tc>
      </w:tr>
      <w:tr w14:paraId="2689C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362" w:type="pct"/>
            <w:tcBorders>
              <w:top w:val="nil"/>
              <w:left w:val="nil"/>
              <w:bottom w:val="nil"/>
              <w:right w:val="nil"/>
            </w:tcBorders>
            <w:shd w:val="clear" w:color="auto" w:fill="FAFFC8"/>
            <w:tcMar>
              <w:top w:w="0" w:type="dxa"/>
              <w:left w:w="0" w:type="dxa"/>
              <w:bottom w:w="0" w:type="dxa"/>
              <w:right w:w="0" w:type="dxa"/>
            </w:tcMar>
            <w:vAlign w:val="top"/>
          </w:tcPr>
          <w:p w14:paraId="7F0F0D33">
            <w:pPr>
              <w:pStyle w:val="4"/>
              <w:keepNext w:val="0"/>
              <w:keepLines w:val="0"/>
              <w:widowControl/>
              <w:suppressLineNumbers w:val="0"/>
              <w:jc w:val="center"/>
              <w:rPr>
                <w:highlight w:val="none"/>
              </w:rPr>
            </w:pPr>
            <w:r>
              <w:rPr>
                <w:rStyle w:val="7"/>
                <w:highlight w:val="none"/>
              </w:rPr>
              <w:t>2021年10月1日起试行</w:t>
            </w:r>
          </w:p>
        </w:tc>
        <w:tc>
          <w:tcPr>
            <w:tcW w:w="2594" w:type="pct"/>
            <w:tcBorders>
              <w:top w:val="nil"/>
              <w:left w:val="nil"/>
              <w:bottom w:val="nil"/>
              <w:right w:val="nil"/>
            </w:tcBorders>
            <w:shd w:val="clear" w:color="auto" w:fill="E1FFC8"/>
            <w:tcMar>
              <w:top w:w="0" w:type="dxa"/>
              <w:left w:w="0" w:type="dxa"/>
              <w:bottom w:w="0" w:type="dxa"/>
              <w:right w:w="0" w:type="dxa"/>
            </w:tcMar>
            <w:vAlign w:val="top"/>
          </w:tcPr>
          <w:p w14:paraId="02B79E53">
            <w:pPr>
              <w:pStyle w:val="4"/>
              <w:keepNext w:val="0"/>
              <w:keepLines w:val="0"/>
              <w:widowControl/>
              <w:suppressLineNumbers w:val="0"/>
              <w:jc w:val="center"/>
              <w:rPr>
                <w:highlight w:val="none"/>
              </w:rPr>
            </w:pPr>
            <w:r>
              <w:rPr>
                <w:rStyle w:val="7"/>
                <w:highlight w:val="none"/>
              </w:rPr>
              <w:t>2024年10月1日起施行</w:t>
            </w:r>
          </w:p>
        </w:tc>
      </w:tr>
      <w:tr w14:paraId="1A5EA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362" w:type="pct"/>
            <w:tcBorders>
              <w:top w:val="nil"/>
              <w:left w:val="nil"/>
              <w:bottom w:val="nil"/>
              <w:right w:val="nil"/>
            </w:tcBorders>
            <w:shd w:val="clear" w:color="auto" w:fill="FAFFC8"/>
            <w:tcMar>
              <w:top w:w="0" w:type="dxa"/>
              <w:left w:w="0" w:type="dxa"/>
              <w:bottom w:w="0" w:type="dxa"/>
              <w:right w:w="0" w:type="dxa"/>
            </w:tcMar>
            <w:vAlign w:val="top"/>
          </w:tcPr>
          <w:p w14:paraId="19C399BA">
            <w:pPr>
              <w:pStyle w:val="4"/>
              <w:keepNext w:val="0"/>
              <w:keepLines w:val="0"/>
              <w:widowControl/>
              <w:suppressLineNumbers w:val="0"/>
              <w:jc w:val="center"/>
              <w:rPr>
                <w:highlight w:val="none"/>
              </w:rPr>
            </w:pPr>
            <w:r>
              <w:rPr>
                <w:rStyle w:val="7"/>
                <w:highlight w:val="none"/>
              </w:rPr>
              <w:t> 第一章  总 则</w:t>
            </w:r>
          </w:p>
        </w:tc>
        <w:tc>
          <w:tcPr>
            <w:tcW w:w="2594" w:type="pct"/>
            <w:tcBorders>
              <w:top w:val="nil"/>
              <w:left w:val="nil"/>
              <w:bottom w:val="nil"/>
              <w:right w:val="nil"/>
            </w:tcBorders>
            <w:shd w:val="clear" w:color="auto" w:fill="E1FFC8"/>
            <w:tcMar>
              <w:top w:w="0" w:type="dxa"/>
              <w:left w:w="0" w:type="dxa"/>
              <w:bottom w:w="0" w:type="dxa"/>
              <w:right w:w="0" w:type="dxa"/>
            </w:tcMar>
            <w:vAlign w:val="top"/>
          </w:tcPr>
          <w:p w14:paraId="7450C342">
            <w:pPr>
              <w:pStyle w:val="4"/>
              <w:keepNext w:val="0"/>
              <w:keepLines w:val="0"/>
              <w:widowControl/>
              <w:suppressLineNumbers w:val="0"/>
              <w:rPr>
                <w:highlight w:val="none"/>
              </w:rPr>
            </w:pPr>
            <w:r>
              <w:rPr>
                <w:rStyle w:val="7"/>
                <w:highlight w:val="none"/>
              </w:rPr>
              <w:t>第一章  总 则</w:t>
            </w:r>
          </w:p>
        </w:tc>
      </w:tr>
      <w:tr w14:paraId="330E2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362" w:type="pct"/>
            <w:tcBorders>
              <w:top w:val="nil"/>
              <w:left w:val="nil"/>
              <w:bottom w:val="nil"/>
              <w:right w:val="nil"/>
            </w:tcBorders>
            <w:shd w:val="clear" w:color="auto" w:fill="FAFFC8"/>
            <w:tcMar>
              <w:top w:w="0" w:type="dxa"/>
              <w:left w:w="0" w:type="dxa"/>
              <w:bottom w:w="0" w:type="dxa"/>
              <w:right w:w="0" w:type="dxa"/>
            </w:tcMar>
            <w:vAlign w:val="top"/>
          </w:tcPr>
          <w:p w14:paraId="141C5CA1">
            <w:pPr>
              <w:pStyle w:val="4"/>
              <w:keepNext w:val="0"/>
              <w:keepLines w:val="0"/>
              <w:widowControl/>
              <w:suppressLineNumbers w:val="0"/>
              <w:rPr>
                <w:highlight w:val="none"/>
              </w:rPr>
            </w:pPr>
            <w:r>
              <w:rPr>
                <w:rStyle w:val="7"/>
                <w:highlight w:val="none"/>
              </w:rPr>
              <w:t>第一条</w:t>
            </w:r>
          </w:p>
          <w:p w14:paraId="52B0AED6">
            <w:pPr>
              <w:pStyle w:val="4"/>
              <w:keepNext w:val="0"/>
              <w:keepLines w:val="0"/>
              <w:widowControl/>
              <w:suppressLineNumbers w:val="0"/>
              <w:ind w:left="0" w:firstLine="420"/>
              <w:rPr>
                <w:highlight w:val="none"/>
              </w:rPr>
            </w:pPr>
            <w:r>
              <w:rPr>
                <w:highlight w:val="none"/>
              </w:rPr>
              <w:t>为规范临床研究管理，提高临床研究质量，促进临床研究健康发展，提升医疗卫生机构诊断治疗、预防控制疾病的能力， 根据《基本医疗卫生与健康促进法》《科学技术进步法》</w:t>
            </w:r>
            <w:r>
              <w:rPr>
                <w:rStyle w:val="7"/>
                <w:color w:val="A65BCB"/>
                <w:highlight w:val="none"/>
              </w:rPr>
              <w:t>《执业医师法》</w:t>
            </w:r>
            <w:r>
              <w:rPr>
                <w:highlight w:val="none"/>
              </w:rPr>
              <w:t>《药品管理法》《医疗机构管理条例》《涉及人的生物医学研究伦理审查办法》等有关法律法规</w:t>
            </w:r>
            <w:r>
              <w:rPr>
                <w:rStyle w:val="7"/>
                <w:color w:val="A65BCB"/>
                <w:highlight w:val="none"/>
              </w:rPr>
              <w:t>及部门规章</w:t>
            </w:r>
            <w:r>
              <w:rPr>
                <w:highlight w:val="none"/>
              </w:rPr>
              <w:t>，制定本办法。</w:t>
            </w:r>
          </w:p>
        </w:tc>
        <w:tc>
          <w:tcPr>
            <w:tcW w:w="2594" w:type="pct"/>
            <w:tcBorders>
              <w:top w:val="nil"/>
              <w:left w:val="nil"/>
              <w:bottom w:val="nil"/>
              <w:right w:val="nil"/>
            </w:tcBorders>
            <w:shd w:val="clear" w:color="auto" w:fill="E1FFC8"/>
            <w:tcMar>
              <w:top w:w="0" w:type="dxa"/>
              <w:left w:w="0" w:type="dxa"/>
              <w:bottom w:w="0" w:type="dxa"/>
              <w:right w:w="0" w:type="dxa"/>
            </w:tcMar>
            <w:vAlign w:val="top"/>
          </w:tcPr>
          <w:p w14:paraId="3705957D">
            <w:pPr>
              <w:pStyle w:val="4"/>
              <w:keepNext w:val="0"/>
              <w:keepLines w:val="0"/>
              <w:widowControl/>
              <w:suppressLineNumbers w:val="0"/>
              <w:rPr>
                <w:highlight w:val="none"/>
              </w:rPr>
            </w:pPr>
            <w:r>
              <w:rPr>
                <w:rStyle w:val="7"/>
                <w:color w:val="3E3E3E"/>
                <w:highlight w:val="none"/>
              </w:rPr>
              <w:t>第一条</w:t>
            </w:r>
            <w:r>
              <w:rPr>
                <w:color w:val="3E3E3E"/>
                <w:highlight w:val="none"/>
              </w:rPr>
              <w:t>  </w:t>
            </w:r>
          </w:p>
          <w:p w14:paraId="7A95171C">
            <w:pPr>
              <w:pStyle w:val="4"/>
              <w:keepNext w:val="0"/>
              <w:keepLines w:val="0"/>
              <w:widowControl/>
              <w:suppressLineNumbers w:val="0"/>
              <w:rPr>
                <w:highlight w:val="none"/>
              </w:rPr>
            </w:pPr>
            <w:r>
              <w:rPr>
                <w:color w:val="3E3E3E"/>
                <w:highlight w:val="none"/>
              </w:rPr>
              <w:t>    为规范临床研究管理，提高临床研究质量，促进临床研究健康发展，提升医疗卫生机构诊断治疗、预防控制疾病的能力，根据《基本医疗卫生与健康促进法》《科学技术进步法》</w:t>
            </w:r>
            <w:r>
              <w:rPr>
                <w:rStyle w:val="7"/>
                <w:color w:val="FF2400"/>
                <w:highlight w:val="none"/>
              </w:rPr>
              <w:t>《医师法》</w:t>
            </w:r>
            <w:r>
              <w:rPr>
                <w:color w:val="3E3E3E"/>
                <w:highlight w:val="none"/>
              </w:rPr>
              <w:t>《药品管理法》《医疗机构管理条例》《医疗器械监督管理条例》《涉及人的生物医学研究伦理审查办法》</w:t>
            </w:r>
            <w:r>
              <w:rPr>
                <w:rStyle w:val="7"/>
                <w:color w:val="FF0000"/>
                <w:highlight w:val="none"/>
              </w:rPr>
              <w:t>《涉及人的生命科学和医学研究伦理审查办法》</w:t>
            </w:r>
            <w:r>
              <w:rPr>
                <w:color w:val="3E3E3E"/>
                <w:highlight w:val="none"/>
              </w:rPr>
              <w:t>等法律法规</w:t>
            </w:r>
            <w:r>
              <w:rPr>
                <w:rStyle w:val="7"/>
                <w:color w:val="FF0000"/>
                <w:highlight w:val="none"/>
              </w:rPr>
              <w:t>规定</w:t>
            </w:r>
            <w:r>
              <w:rPr>
                <w:color w:val="3E3E3E"/>
                <w:highlight w:val="none"/>
              </w:rPr>
              <w:t>，制定本办法。</w:t>
            </w:r>
          </w:p>
        </w:tc>
      </w:tr>
      <w:tr w14:paraId="4E774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362" w:type="pct"/>
            <w:tcBorders>
              <w:top w:val="nil"/>
              <w:left w:val="nil"/>
              <w:bottom w:val="nil"/>
              <w:right w:val="nil"/>
            </w:tcBorders>
            <w:shd w:val="clear" w:color="auto" w:fill="FAFFC8"/>
            <w:tcMar>
              <w:top w:w="0" w:type="dxa"/>
              <w:left w:w="0" w:type="dxa"/>
              <w:bottom w:w="0" w:type="dxa"/>
              <w:right w:w="0" w:type="dxa"/>
            </w:tcMar>
            <w:vAlign w:val="top"/>
          </w:tcPr>
          <w:p w14:paraId="7561AF5D">
            <w:pPr>
              <w:pStyle w:val="4"/>
              <w:keepNext w:val="0"/>
              <w:keepLines w:val="0"/>
              <w:widowControl/>
              <w:suppressLineNumbers w:val="0"/>
              <w:rPr>
                <w:highlight w:val="none"/>
              </w:rPr>
            </w:pPr>
            <w:r>
              <w:rPr>
                <w:rStyle w:val="7"/>
                <w:highlight w:val="none"/>
              </w:rPr>
              <w:t>第二条</w:t>
            </w:r>
          </w:p>
          <w:p w14:paraId="3E971A0C">
            <w:pPr>
              <w:pStyle w:val="4"/>
              <w:keepNext w:val="0"/>
              <w:keepLines w:val="0"/>
              <w:widowControl/>
              <w:suppressLineNumbers w:val="0"/>
              <w:ind w:left="0" w:firstLine="420"/>
              <w:rPr>
                <w:highlight w:val="none"/>
              </w:rPr>
            </w:pPr>
            <w:r>
              <w:rPr>
                <w:highlight w:val="none"/>
              </w:rPr>
              <w:t>医疗卫生机构开展的研究者发起的临床研究（以下简称临床研究）是指医疗卫生机构开展的，以人个体或群体</w:t>
            </w:r>
            <w:r>
              <w:rPr>
                <w:rStyle w:val="7"/>
                <w:color w:val="A65BCB"/>
                <w:highlight w:val="none"/>
              </w:rPr>
              <w:t>（包括医疗健康信息）</w:t>
            </w:r>
            <w:r>
              <w:rPr>
                <w:highlight w:val="none"/>
              </w:rPr>
              <w:t>为研究对象，不以药品医疗器械（含体外诊断试剂）等产品注册为目的，研究疾病的诊断、治疗、康复、预后、病因、预防及健康维护等的活动。</w:t>
            </w:r>
          </w:p>
          <w:p w14:paraId="67CEFCB4">
            <w:pPr>
              <w:pStyle w:val="4"/>
              <w:keepNext w:val="0"/>
              <w:keepLines w:val="0"/>
              <w:widowControl/>
              <w:suppressLineNumbers w:val="0"/>
              <w:ind w:left="0" w:firstLine="420"/>
              <w:rPr>
                <w:highlight w:val="none"/>
              </w:rPr>
            </w:pPr>
            <w:r>
              <w:rPr>
                <w:rStyle w:val="7"/>
                <w:color w:val="A65BCB"/>
                <w:highlight w:val="none"/>
              </w:rPr>
              <w:t>本办法所称医疗卫生机构包括各级各类医疗机构、疾病预防控制机构、采供血机构、妇幼保健机构。</w:t>
            </w:r>
          </w:p>
        </w:tc>
        <w:tc>
          <w:tcPr>
            <w:tcW w:w="2594" w:type="pct"/>
            <w:tcBorders>
              <w:top w:val="nil"/>
              <w:left w:val="nil"/>
              <w:bottom w:val="nil"/>
              <w:right w:val="nil"/>
            </w:tcBorders>
            <w:shd w:val="clear" w:color="auto" w:fill="E1FFC8"/>
            <w:tcMar>
              <w:top w:w="0" w:type="dxa"/>
              <w:left w:w="0" w:type="dxa"/>
              <w:bottom w:w="0" w:type="dxa"/>
              <w:right w:w="0" w:type="dxa"/>
            </w:tcMar>
            <w:vAlign w:val="top"/>
          </w:tcPr>
          <w:p w14:paraId="5EE6D372">
            <w:pPr>
              <w:pStyle w:val="4"/>
              <w:keepNext w:val="0"/>
              <w:keepLines w:val="0"/>
              <w:widowControl/>
              <w:suppressLineNumbers w:val="0"/>
              <w:rPr>
                <w:highlight w:val="none"/>
              </w:rPr>
            </w:pPr>
            <w:r>
              <w:rPr>
                <w:rStyle w:val="7"/>
                <w:highlight w:val="none"/>
              </w:rPr>
              <w:t>第二条</w:t>
            </w:r>
          </w:p>
          <w:p w14:paraId="012AB3C2">
            <w:pPr>
              <w:pStyle w:val="4"/>
              <w:keepNext w:val="0"/>
              <w:keepLines w:val="0"/>
              <w:widowControl/>
              <w:suppressLineNumbers w:val="0"/>
              <w:ind w:left="0" w:firstLine="420"/>
              <w:rPr>
                <w:highlight w:val="none"/>
              </w:rPr>
            </w:pPr>
            <w:r>
              <w:rPr>
                <w:highlight w:val="none"/>
              </w:rPr>
              <w:t>医疗卫生机构开展的研究者发起的临床研究(以下简称临床研究)是指医疗卫生机构开展的，以人(个体或群体)为研究对象</w:t>
            </w:r>
            <w:r>
              <w:rPr>
                <w:rStyle w:val="7"/>
                <w:color w:val="FF0000"/>
                <w:highlight w:val="none"/>
              </w:rPr>
              <w:t>(以下称研究参与者)</w:t>
            </w:r>
            <w:r>
              <w:rPr>
                <w:color w:val="3E3E3E"/>
                <w:highlight w:val="none"/>
              </w:rPr>
              <w:t>，</w:t>
            </w:r>
            <w:r>
              <w:rPr>
                <w:highlight w:val="none"/>
              </w:rPr>
              <w:t>不以药品、医疗器械(含体外诊断试剂)等产品注册为目的，研究疾病的病因、诊断、治疗、康复、预后、预防、</w:t>
            </w:r>
            <w:r>
              <w:rPr>
                <w:highlight w:val="none"/>
              </w:rPr>
              <w:t>【控制】</w:t>
            </w:r>
            <w:r>
              <w:rPr>
                <w:highlight w:val="none"/>
              </w:rPr>
              <w:t>及健康维护等的活动。</w:t>
            </w:r>
          </w:p>
        </w:tc>
      </w:tr>
      <w:tr w14:paraId="1708C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362" w:type="pct"/>
            <w:tcBorders>
              <w:top w:val="nil"/>
              <w:left w:val="nil"/>
              <w:bottom w:val="nil"/>
              <w:right w:val="nil"/>
            </w:tcBorders>
            <w:shd w:val="clear" w:color="auto" w:fill="FAFFC8"/>
            <w:tcMar>
              <w:top w:w="0" w:type="dxa"/>
              <w:left w:w="0" w:type="dxa"/>
              <w:bottom w:w="0" w:type="dxa"/>
              <w:right w:w="0" w:type="dxa"/>
            </w:tcMar>
            <w:vAlign w:val="top"/>
          </w:tcPr>
          <w:p w14:paraId="726EAD0A">
            <w:pPr>
              <w:pStyle w:val="4"/>
              <w:keepNext w:val="0"/>
              <w:keepLines w:val="0"/>
              <w:widowControl/>
              <w:suppressLineNumbers w:val="0"/>
              <w:rPr>
                <w:highlight w:val="none"/>
              </w:rPr>
            </w:pPr>
            <w:r>
              <w:rPr>
                <w:rStyle w:val="7"/>
                <w:highlight w:val="none"/>
              </w:rPr>
              <w:t>第三条</w:t>
            </w:r>
          </w:p>
          <w:p w14:paraId="2DDAB3C6">
            <w:pPr>
              <w:pStyle w:val="4"/>
              <w:keepNext w:val="0"/>
              <w:keepLines w:val="0"/>
              <w:widowControl/>
              <w:suppressLineNumbers w:val="0"/>
              <w:ind w:left="0" w:firstLine="420"/>
              <w:rPr>
                <w:highlight w:val="none"/>
              </w:rPr>
            </w:pPr>
            <w:r>
              <w:rPr>
                <w:highlight w:val="none"/>
              </w:rPr>
              <w:t>医疗卫生机构开展临床研究是为了探索医学科学规律、积累医学知识， 不得以临床研究为名开展超范围的临床诊疗或群体性疾病预防控制活动。</w:t>
            </w:r>
          </w:p>
          <w:p w14:paraId="678B989A">
            <w:pPr>
              <w:pStyle w:val="4"/>
              <w:keepNext w:val="0"/>
              <w:keepLines w:val="0"/>
              <w:widowControl/>
              <w:suppressLineNumbers w:val="0"/>
              <w:ind w:left="0" w:firstLine="420"/>
              <w:rPr>
                <w:highlight w:val="none"/>
              </w:rPr>
            </w:pPr>
            <w:r>
              <w:rPr>
                <w:rStyle w:val="7"/>
                <w:color w:val="A65BCB"/>
                <w:highlight w:val="none"/>
              </w:rPr>
              <w:t>所有临床研究均应通过科学性审查和伦理审查。</w:t>
            </w:r>
          </w:p>
          <w:p w14:paraId="1969E381">
            <w:pPr>
              <w:pStyle w:val="4"/>
              <w:keepNext w:val="0"/>
              <w:keepLines w:val="0"/>
              <w:widowControl/>
              <w:suppressLineNumbers w:val="0"/>
              <w:ind w:left="0" w:firstLine="420"/>
              <w:rPr>
                <w:highlight w:val="none"/>
              </w:rPr>
            </w:pPr>
            <w:r>
              <w:rPr>
                <w:highlight w:val="none"/>
              </w:rPr>
              <w:t>临床研究过程中，医疗卫生机构及其研究者要充分尊重研究对象的知情权与自主选择权。</w:t>
            </w:r>
          </w:p>
        </w:tc>
        <w:tc>
          <w:tcPr>
            <w:tcW w:w="2594" w:type="pct"/>
            <w:tcBorders>
              <w:top w:val="nil"/>
              <w:left w:val="nil"/>
              <w:bottom w:val="nil"/>
              <w:right w:val="nil"/>
            </w:tcBorders>
            <w:shd w:val="clear" w:color="auto" w:fill="E1FFC8"/>
            <w:tcMar>
              <w:top w:w="0" w:type="dxa"/>
              <w:left w:w="0" w:type="dxa"/>
              <w:bottom w:w="0" w:type="dxa"/>
              <w:right w:w="0" w:type="dxa"/>
            </w:tcMar>
            <w:vAlign w:val="top"/>
          </w:tcPr>
          <w:p w14:paraId="5B2C94FB">
            <w:pPr>
              <w:pStyle w:val="4"/>
              <w:keepNext w:val="0"/>
              <w:keepLines w:val="0"/>
              <w:widowControl/>
              <w:suppressLineNumbers w:val="0"/>
              <w:rPr>
                <w:highlight w:val="none"/>
              </w:rPr>
            </w:pPr>
            <w:r>
              <w:rPr>
                <w:rStyle w:val="7"/>
                <w:highlight w:val="none"/>
              </w:rPr>
              <w:t>第三条</w:t>
            </w:r>
          </w:p>
          <w:p w14:paraId="722E30FC">
            <w:pPr>
              <w:pStyle w:val="4"/>
              <w:keepNext w:val="0"/>
              <w:keepLines w:val="0"/>
              <w:widowControl/>
              <w:suppressLineNumbers w:val="0"/>
              <w:ind w:left="0" w:firstLine="420"/>
              <w:rPr>
                <w:highlight w:val="none"/>
              </w:rPr>
            </w:pPr>
            <w:r>
              <w:rPr>
                <w:highlight w:val="none"/>
              </w:rPr>
              <w:t>医疗卫生机构开展临床研究是为了探不得以临床研究为名开展超范围的临床诊疗索医学科学规律、积累医学知识，或群体性疾病预防控制活动。</w:t>
            </w:r>
          </w:p>
          <w:p w14:paraId="56DFE0D6">
            <w:pPr>
              <w:pStyle w:val="4"/>
              <w:keepNext w:val="0"/>
              <w:keepLines w:val="0"/>
              <w:widowControl/>
              <w:suppressLineNumbers w:val="0"/>
              <w:ind w:left="0" w:firstLine="420"/>
              <w:rPr>
                <w:highlight w:val="none"/>
              </w:rPr>
            </w:pPr>
            <w:r>
              <w:rPr>
                <w:highlight w:val="none"/>
              </w:rPr>
              <w:t>临床研究过程中，医疗卫生机构及其研究者要充分尊重研究参与者的知情权与自主选择权。</w:t>
            </w:r>
          </w:p>
        </w:tc>
      </w:tr>
      <w:tr w14:paraId="53390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362" w:type="pct"/>
            <w:tcBorders>
              <w:top w:val="nil"/>
              <w:left w:val="nil"/>
              <w:bottom w:val="nil"/>
              <w:right w:val="nil"/>
            </w:tcBorders>
            <w:shd w:val="clear" w:color="auto" w:fill="FAFFC8"/>
            <w:tcMar>
              <w:top w:w="0" w:type="dxa"/>
              <w:left w:w="0" w:type="dxa"/>
              <w:bottom w:w="0" w:type="dxa"/>
              <w:right w:w="0" w:type="dxa"/>
            </w:tcMar>
            <w:vAlign w:val="top"/>
          </w:tcPr>
          <w:p w14:paraId="09AA8825">
            <w:pPr>
              <w:pStyle w:val="4"/>
              <w:keepNext w:val="0"/>
              <w:keepLines w:val="0"/>
              <w:widowControl/>
              <w:suppressLineNumbers w:val="0"/>
              <w:rPr>
                <w:highlight w:val="none"/>
              </w:rPr>
            </w:pPr>
            <w:r>
              <w:rPr>
                <w:rStyle w:val="7"/>
                <w:highlight w:val="none"/>
              </w:rPr>
              <w:t>第四条</w:t>
            </w:r>
          </w:p>
          <w:p w14:paraId="156AD626">
            <w:pPr>
              <w:pStyle w:val="4"/>
              <w:keepNext w:val="0"/>
              <w:keepLines w:val="0"/>
              <w:widowControl/>
              <w:suppressLineNumbers w:val="0"/>
              <w:ind w:left="0" w:firstLine="420"/>
              <w:rPr>
                <w:highlight w:val="none"/>
              </w:rPr>
            </w:pPr>
            <w:r>
              <w:rPr>
                <w:highlight w:val="none"/>
              </w:rPr>
              <w:t>医疗卫生机构及其研究者开展临床研究应当</w:t>
            </w:r>
            <w:r>
              <w:rPr>
                <w:rStyle w:val="7"/>
                <w:color w:val="A65BCB"/>
                <w:highlight w:val="none"/>
              </w:rPr>
              <w:t>取得法律法规要求的临床资质</w:t>
            </w:r>
            <w:r>
              <w:rPr>
                <w:color w:val="A65BCB"/>
                <w:highlight w:val="none"/>
              </w:rPr>
              <w:t>，</w:t>
            </w:r>
            <w:r>
              <w:rPr>
                <w:highlight w:val="none"/>
              </w:rPr>
              <w:t>具备相应的能力和必要的资金保障。</w:t>
            </w:r>
          </w:p>
        </w:tc>
        <w:tc>
          <w:tcPr>
            <w:tcW w:w="2594" w:type="pct"/>
            <w:tcBorders>
              <w:top w:val="nil"/>
              <w:left w:val="nil"/>
              <w:bottom w:val="nil"/>
              <w:right w:val="nil"/>
            </w:tcBorders>
            <w:shd w:val="clear" w:color="auto" w:fill="E1FFC8"/>
            <w:tcMar>
              <w:top w:w="0" w:type="dxa"/>
              <w:left w:w="0" w:type="dxa"/>
              <w:bottom w:w="0" w:type="dxa"/>
              <w:right w:w="0" w:type="dxa"/>
            </w:tcMar>
            <w:vAlign w:val="top"/>
          </w:tcPr>
          <w:p w14:paraId="4FC18E5A">
            <w:pPr>
              <w:pStyle w:val="4"/>
              <w:keepNext w:val="0"/>
              <w:keepLines w:val="0"/>
              <w:widowControl/>
              <w:suppressLineNumbers w:val="0"/>
              <w:rPr>
                <w:highlight w:val="none"/>
              </w:rPr>
            </w:pPr>
            <w:r>
              <w:rPr>
                <w:rStyle w:val="7"/>
                <w:highlight w:val="none"/>
              </w:rPr>
              <w:t>第四条</w:t>
            </w:r>
          </w:p>
          <w:p w14:paraId="344A882A">
            <w:pPr>
              <w:pStyle w:val="4"/>
              <w:keepNext w:val="0"/>
              <w:keepLines w:val="0"/>
              <w:widowControl/>
              <w:suppressLineNumbers w:val="0"/>
              <w:ind w:left="0" w:firstLine="420"/>
              <w:rPr>
                <w:highlight w:val="none"/>
              </w:rPr>
            </w:pPr>
            <w:r>
              <w:rPr>
                <w:highlight w:val="none"/>
              </w:rPr>
              <w:t>医疗卫生机构及其研究者开展临床研究应当具备相应的能力和必要的资金保障。</w:t>
            </w:r>
          </w:p>
        </w:tc>
      </w:tr>
      <w:tr w14:paraId="7D196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362" w:type="pct"/>
            <w:tcBorders>
              <w:top w:val="nil"/>
              <w:left w:val="nil"/>
              <w:bottom w:val="nil"/>
              <w:right w:val="nil"/>
            </w:tcBorders>
            <w:shd w:val="clear" w:color="auto" w:fill="FAFFC8"/>
            <w:tcMar>
              <w:top w:w="0" w:type="dxa"/>
              <w:left w:w="0" w:type="dxa"/>
              <w:bottom w:w="0" w:type="dxa"/>
              <w:right w:w="0" w:type="dxa"/>
            </w:tcMar>
            <w:vAlign w:val="top"/>
          </w:tcPr>
          <w:p w14:paraId="2BEA9C7D">
            <w:pPr>
              <w:pStyle w:val="4"/>
              <w:keepNext w:val="0"/>
              <w:keepLines w:val="0"/>
              <w:widowControl/>
              <w:suppressLineNumbers w:val="0"/>
              <w:rPr>
                <w:highlight w:val="none"/>
              </w:rPr>
            </w:pPr>
            <w:r>
              <w:rPr>
                <w:rStyle w:val="7"/>
                <w:highlight w:val="none"/>
              </w:rPr>
              <w:t>第五条</w:t>
            </w:r>
          </w:p>
          <w:p w14:paraId="0A1E93F1">
            <w:pPr>
              <w:pStyle w:val="4"/>
              <w:keepNext w:val="0"/>
              <w:keepLines w:val="0"/>
              <w:widowControl/>
              <w:suppressLineNumbers w:val="0"/>
              <w:ind w:left="0" w:firstLine="420"/>
              <w:rPr>
                <w:highlight w:val="none"/>
              </w:rPr>
            </w:pPr>
            <w:r>
              <w:rPr>
                <w:highlight w:val="none"/>
              </w:rPr>
              <w:t>医疗卫生机构是临床研究实施的责任主体，开展临床研究应当遵守有关法律法规、部门规章及有关规范性文件和技术准则、伦理规范的要求，制定切实有效的临床研究管理实施细则，建立健全保障科学、规范、有序开展临床研究的组织体系、质量体系、利益冲突防范机制和</w:t>
            </w:r>
            <w:r>
              <w:rPr>
                <w:rStyle w:val="7"/>
                <w:color w:val="A65BCB"/>
                <w:highlight w:val="none"/>
              </w:rPr>
              <w:t>研究对象</w:t>
            </w:r>
            <w:r>
              <w:rPr>
                <w:highlight w:val="none"/>
              </w:rPr>
              <w:t>权益保护机制，加强对临床研究的质量保证和全过程管理。积极支持和组织开展临床研究学术交流和培训。</w:t>
            </w:r>
          </w:p>
          <w:p w14:paraId="117952EC">
            <w:pPr>
              <w:pStyle w:val="4"/>
              <w:keepNext w:val="0"/>
              <w:keepLines w:val="0"/>
              <w:widowControl/>
              <w:suppressLineNumbers w:val="0"/>
              <w:ind w:left="0" w:firstLine="420"/>
              <w:rPr>
                <w:highlight w:val="none"/>
              </w:rPr>
            </w:pPr>
            <w:r>
              <w:rPr>
                <w:highlight w:val="none"/>
              </w:rPr>
              <w:t>医疗卫生机构应当结合自身实际，合理判断临床研究的风险，结合研究类型、干预措施等对临床研究实行分类管理。</w:t>
            </w:r>
          </w:p>
        </w:tc>
        <w:tc>
          <w:tcPr>
            <w:tcW w:w="2594" w:type="pct"/>
            <w:tcBorders>
              <w:top w:val="nil"/>
              <w:left w:val="nil"/>
              <w:bottom w:val="nil"/>
              <w:right w:val="nil"/>
            </w:tcBorders>
            <w:shd w:val="clear" w:color="auto" w:fill="E1FFC8"/>
            <w:tcMar>
              <w:top w:w="0" w:type="dxa"/>
              <w:left w:w="0" w:type="dxa"/>
              <w:bottom w:w="0" w:type="dxa"/>
              <w:right w:w="0" w:type="dxa"/>
            </w:tcMar>
            <w:vAlign w:val="top"/>
          </w:tcPr>
          <w:p w14:paraId="61ABB1F3">
            <w:pPr>
              <w:pStyle w:val="4"/>
              <w:keepNext w:val="0"/>
              <w:keepLines w:val="0"/>
              <w:widowControl/>
              <w:suppressLineNumbers w:val="0"/>
              <w:rPr>
                <w:highlight w:val="none"/>
              </w:rPr>
            </w:pPr>
            <w:r>
              <w:rPr>
                <w:rStyle w:val="7"/>
                <w:highlight w:val="none"/>
              </w:rPr>
              <w:t>第五条</w:t>
            </w:r>
          </w:p>
          <w:p w14:paraId="16FC696B">
            <w:pPr>
              <w:pStyle w:val="4"/>
              <w:keepNext w:val="0"/>
              <w:keepLines w:val="0"/>
              <w:widowControl/>
              <w:suppressLineNumbers w:val="0"/>
              <w:ind w:left="0" w:firstLine="420"/>
              <w:rPr>
                <w:highlight w:val="none"/>
              </w:rPr>
            </w:pPr>
            <w:r>
              <w:rPr>
                <w:highlight w:val="none"/>
              </w:rPr>
              <w:t>医疗卫生机构</w:t>
            </w:r>
            <w:r>
              <w:rPr>
                <w:highlight w:val="none"/>
              </w:rPr>
              <w:t>是临床研究实施的</w:t>
            </w:r>
            <w:r>
              <w:rPr>
                <w:highlight w:val="none"/>
              </w:rPr>
              <w:t>责任主体</w:t>
            </w:r>
            <w:r>
              <w:rPr>
                <w:highlight w:val="none"/>
              </w:rPr>
              <w:t>，开展临床研究应当遵守有关法律法规、部门规章及有关规范性文件和技术准则、伦理规范的要求，制定切实有效的临床研究管理实施细则，建立健全保障科学、规范、有序开展临床研究的组织体系、质量体系、利益冲突防范机制和</w:t>
            </w:r>
            <w:r>
              <w:rPr>
                <w:rStyle w:val="7"/>
                <w:color w:val="FF2400"/>
                <w:highlight w:val="none"/>
              </w:rPr>
              <w:t>研究参与者</w:t>
            </w:r>
            <w:r>
              <w:rPr>
                <w:highlight w:val="none"/>
              </w:rPr>
              <w:t>权益保护机制，加强对临床研究的质量保证和全过程管理。积极支持和组织开展临床研究学术交流和培训。</w:t>
            </w:r>
          </w:p>
          <w:p w14:paraId="34AE637C">
            <w:pPr>
              <w:pStyle w:val="4"/>
              <w:keepNext w:val="0"/>
              <w:keepLines w:val="0"/>
              <w:widowControl/>
              <w:suppressLineNumbers w:val="0"/>
              <w:ind w:left="0" w:firstLine="420"/>
              <w:rPr>
                <w:highlight w:val="none"/>
              </w:rPr>
            </w:pPr>
            <w:r>
              <w:rPr>
                <w:highlight w:val="none"/>
              </w:rPr>
              <w:t>医疗卫生机构应当结合自身实际，合理判断临床研究的风险，结合</w:t>
            </w:r>
            <w:r>
              <w:rPr>
                <w:highlight w:val="none"/>
              </w:rPr>
              <w:t>研究类型、干预措施</w:t>
            </w:r>
            <w:r>
              <w:rPr>
                <w:highlight w:val="none"/>
              </w:rPr>
              <w:t>等对临床研究实行分类管理。</w:t>
            </w:r>
          </w:p>
        </w:tc>
      </w:tr>
      <w:tr w14:paraId="757E4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362" w:type="pct"/>
            <w:tcBorders>
              <w:top w:val="nil"/>
              <w:left w:val="nil"/>
              <w:bottom w:val="nil"/>
              <w:right w:val="nil"/>
            </w:tcBorders>
            <w:shd w:val="clear" w:color="auto" w:fill="FAFFC8"/>
            <w:tcMar>
              <w:top w:w="0" w:type="dxa"/>
              <w:left w:w="0" w:type="dxa"/>
              <w:bottom w:w="0" w:type="dxa"/>
              <w:right w:w="0" w:type="dxa"/>
            </w:tcMar>
            <w:vAlign w:val="top"/>
          </w:tcPr>
          <w:p w14:paraId="38B3FEC5">
            <w:pPr>
              <w:pStyle w:val="4"/>
              <w:keepNext w:val="0"/>
              <w:keepLines w:val="0"/>
              <w:widowControl/>
              <w:suppressLineNumbers w:val="0"/>
              <w:rPr>
                <w:highlight w:val="none"/>
              </w:rPr>
            </w:pPr>
            <w:r>
              <w:rPr>
                <w:rStyle w:val="7"/>
                <w:highlight w:val="none"/>
              </w:rPr>
              <w:t>第六条</w:t>
            </w:r>
          </w:p>
          <w:p w14:paraId="46CB21F7">
            <w:pPr>
              <w:pStyle w:val="4"/>
              <w:keepNext w:val="0"/>
              <w:keepLines w:val="0"/>
              <w:widowControl/>
              <w:suppressLineNumbers w:val="0"/>
              <w:ind w:left="0" w:firstLine="420"/>
              <w:rPr>
                <w:highlight w:val="none"/>
              </w:rPr>
            </w:pPr>
            <w:r>
              <w:rPr>
                <w:highlight w:val="none"/>
              </w:rPr>
              <w:t>临床研究的主要研究者对临床研究的科学性、伦理合规性负责， 应当加强对其他研究者的培训和管理，对研究对象履行恰当的关注义务并在必要时给予妥善处置。</w:t>
            </w:r>
          </w:p>
          <w:p w14:paraId="272BC111">
            <w:pPr>
              <w:pStyle w:val="4"/>
              <w:keepNext w:val="0"/>
              <w:keepLines w:val="0"/>
              <w:widowControl/>
              <w:suppressLineNumbers w:val="0"/>
              <w:ind w:left="0" w:firstLine="420"/>
              <w:rPr>
                <w:highlight w:val="none"/>
              </w:rPr>
            </w:pPr>
            <w:r>
              <w:rPr>
                <w:highlight w:val="none"/>
              </w:rPr>
              <w:t>临床研究的主要研究者和其他研究者应当遵守科研诚信。根据有关法律法规、部门规章、有关规范性文件、技术准则、伦理规范及医疗卫生机构制定的规章制度要求，加强对临床研究过程的自查，及时如实报告有关事项。</w:t>
            </w:r>
          </w:p>
        </w:tc>
        <w:tc>
          <w:tcPr>
            <w:tcW w:w="2594" w:type="pct"/>
            <w:tcBorders>
              <w:top w:val="nil"/>
              <w:left w:val="nil"/>
              <w:bottom w:val="nil"/>
              <w:right w:val="nil"/>
            </w:tcBorders>
            <w:shd w:val="clear" w:color="auto" w:fill="E1FFC8"/>
            <w:tcMar>
              <w:top w:w="0" w:type="dxa"/>
              <w:left w:w="0" w:type="dxa"/>
              <w:bottom w:w="0" w:type="dxa"/>
              <w:right w:w="0" w:type="dxa"/>
            </w:tcMar>
            <w:vAlign w:val="top"/>
          </w:tcPr>
          <w:p w14:paraId="46B18F5C">
            <w:pPr>
              <w:pStyle w:val="4"/>
              <w:keepNext w:val="0"/>
              <w:keepLines w:val="0"/>
              <w:widowControl/>
              <w:suppressLineNumbers w:val="0"/>
              <w:rPr>
                <w:highlight w:val="none"/>
              </w:rPr>
            </w:pPr>
            <w:r>
              <w:rPr>
                <w:rStyle w:val="7"/>
                <w:highlight w:val="none"/>
              </w:rPr>
              <w:t>第六条</w:t>
            </w:r>
          </w:p>
          <w:p w14:paraId="12DC3FE9">
            <w:pPr>
              <w:pStyle w:val="4"/>
              <w:keepNext w:val="0"/>
              <w:keepLines w:val="0"/>
              <w:widowControl/>
              <w:suppressLineNumbers w:val="0"/>
              <w:ind w:left="0" w:firstLine="420"/>
              <w:rPr>
                <w:highlight w:val="none"/>
              </w:rPr>
            </w:pPr>
            <w:r>
              <w:rPr>
                <w:highlight w:val="none"/>
              </w:rPr>
              <w:t>临床研究的主要研究者对临床研究的科学性、伦理合规性负责，应当加强对其他研究者的培训和管理，对研究参与者履行恰当的关注义务并在必要时给予妥善处置。</w:t>
            </w:r>
          </w:p>
          <w:p w14:paraId="74EF2BB9">
            <w:pPr>
              <w:pStyle w:val="4"/>
              <w:keepNext w:val="0"/>
              <w:keepLines w:val="0"/>
              <w:widowControl/>
              <w:suppressLineNumbers w:val="0"/>
              <w:ind w:left="0" w:firstLine="420"/>
              <w:rPr>
                <w:highlight w:val="none"/>
              </w:rPr>
            </w:pPr>
            <w:r>
              <w:rPr>
                <w:highlight w:val="none"/>
              </w:rPr>
              <w:t>临床研究的主要研究者和其他研究者应当遵守</w:t>
            </w:r>
            <w:r>
              <w:rPr>
                <w:highlight w:val="none"/>
              </w:rPr>
              <w:t>科研诚信</w:t>
            </w:r>
            <w:r>
              <w:rPr>
                <w:highlight w:val="none"/>
              </w:rPr>
              <w:t>。根据有关法律法规、部门规章、有关规范性文件、技术准则、伦理规范及医疗卫生机构制定的规章制度要求，加强对临床研究过程的自查，及时如实报告有关事项。</w:t>
            </w:r>
          </w:p>
        </w:tc>
      </w:tr>
      <w:tr w14:paraId="48722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362" w:type="pct"/>
            <w:tcBorders>
              <w:top w:val="nil"/>
              <w:left w:val="nil"/>
              <w:bottom w:val="nil"/>
              <w:right w:val="nil"/>
            </w:tcBorders>
            <w:shd w:val="clear" w:color="auto" w:fill="FAFFC8"/>
            <w:tcMar>
              <w:top w:w="0" w:type="dxa"/>
              <w:left w:w="0" w:type="dxa"/>
              <w:bottom w:w="0" w:type="dxa"/>
              <w:right w:w="0" w:type="dxa"/>
            </w:tcMar>
            <w:vAlign w:val="top"/>
          </w:tcPr>
          <w:p w14:paraId="7E575712">
            <w:pPr>
              <w:pStyle w:val="4"/>
              <w:keepNext w:val="0"/>
              <w:keepLines w:val="0"/>
              <w:widowControl/>
              <w:suppressLineNumbers w:val="0"/>
              <w:rPr>
                <w:highlight w:val="none"/>
              </w:rPr>
            </w:pPr>
            <w:r>
              <w:rPr>
                <w:rStyle w:val="7"/>
                <w:highlight w:val="none"/>
              </w:rPr>
              <w:t>第七条</w:t>
            </w:r>
          </w:p>
          <w:p w14:paraId="5204571F">
            <w:pPr>
              <w:pStyle w:val="4"/>
              <w:keepNext w:val="0"/>
              <w:keepLines w:val="0"/>
              <w:widowControl/>
              <w:suppressLineNumbers w:val="0"/>
              <w:ind w:left="0" w:firstLine="420"/>
              <w:rPr>
                <w:highlight w:val="none"/>
              </w:rPr>
            </w:pPr>
            <w:r>
              <w:rPr>
                <w:highlight w:val="none"/>
              </w:rPr>
              <w:t>省级及以上卫生健康行政部门应当设立专家委员会或遴选有关专业机构，全面掌握并定期梳理</w:t>
            </w:r>
            <w:r>
              <w:rPr>
                <w:rStyle w:val="7"/>
                <w:color w:val="A65BCB"/>
                <w:highlight w:val="none"/>
              </w:rPr>
              <w:t>辖区内</w:t>
            </w:r>
            <w:r>
              <w:rPr>
                <w:highlight w:val="none"/>
              </w:rPr>
              <w:t>医疗卫生机构开展临床研究情况，通过专业学术指导、伦理审查监督、研究资金支持等方式，加强对临床研究的监督管理和统筹协调，支持和组织开展临床研究学术交流和培训，促进临床研究的质量提升和效能提高。</w:t>
            </w:r>
          </w:p>
        </w:tc>
        <w:tc>
          <w:tcPr>
            <w:tcW w:w="2594" w:type="pct"/>
            <w:tcBorders>
              <w:top w:val="nil"/>
              <w:left w:val="nil"/>
              <w:bottom w:val="nil"/>
              <w:right w:val="nil"/>
            </w:tcBorders>
            <w:shd w:val="clear" w:color="auto" w:fill="E1FFC8"/>
            <w:tcMar>
              <w:top w:w="0" w:type="dxa"/>
              <w:left w:w="0" w:type="dxa"/>
              <w:bottom w:w="0" w:type="dxa"/>
              <w:right w:w="0" w:type="dxa"/>
            </w:tcMar>
            <w:vAlign w:val="top"/>
          </w:tcPr>
          <w:p w14:paraId="53C19DC3">
            <w:pPr>
              <w:pStyle w:val="4"/>
              <w:keepNext w:val="0"/>
              <w:keepLines w:val="0"/>
              <w:widowControl/>
              <w:suppressLineNumbers w:val="0"/>
              <w:rPr>
                <w:highlight w:val="none"/>
              </w:rPr>
            </w:pPr>
            <w:r>
              <w:rPr>
                <w:rStyle w:val="7"/>
                <w:highlight w:val="none"/>
              </w:rPr>
              <w:t>第七条</w:t>
            </w:r>
          </w:p>
          <w:p w14:paraId="235E9AE5">
            <w:pPr>
              <w:pStyle w:val="4"/>
              <w:keepNext w:val="0"/>
              <w:keepLines w:val="0"/>
              <w:widowControl/>
              <w:suppressLineNumbers w:val="0"/>
              <w:ind w:left="0" w:firstLine="420"/>
              <w:rPr>
                <w:highlight w:val="none"/>
              </w:rPr>
            </w:pPr>
            <w:r>
              <w:rPr>
                <w:highlight w:val="none"/>
              </w:rPr>
              <w:t>省级及以上卫生健康行政部门应当设立专家委员会或遴选有关专业机构，全面掌握并定期梳理</w:t>
            </w:r>
            <w:r>
              <w:rPr>
                <w:rStyle w:val="7"/>
                <w:color w:val="FF0000"/>
                <w:highlight w:val="none"/>
              </w:rPr>
              <w:t>本行政区域内</w:t>
            </w:r>
            <w:r>
              <w:rPr>
                <w:highlight w:val="none"/>
              </w:rPr>
              <w:t>医疗卫生机构开展临床研究情况，通过专业学术指导、</w:t>
            </w:r>
            <w:r>
              <w:rPr>
                <w:highlight w:val="none"/>
              </w:rPr>
              <w:t>伦理审查监督</w:t>
            </w:r>
            <w:r>
              <w:rPr>
                <w:highlight w:val="none"/>
              </w:rPr>
              <w:t>、研究资金支持等方式，加强对临床研究的监督管理和统筹协调，支持和组织开展临床研究学术交流和培训，促进临床研究的质量提升和效能提高。</w:t>
            </w:r>
          </w:p>
        </w:tc>
      </w:tr>
      <w:tr w14:paraId="333AC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362" w:type="pct"/>
            <w:tcBorders>
              <w:top w:val="nil"/>
              <w:left w:val="nil"/>
              <w:bottom w:val="nil"/>
              <w:right w:val="nil"/>
            </w:tcBorders>
            <w:shd w:val="clear" w:color="auto" w:fill="FAFFC8"/>
            <w:tcMar>
              <w:top w:w="0" w:type="dxa"/>
              <w:left w:w="0" w:type="dxa"/>
              <w:bottom w:w="0" w:type="dxa"/>
              <w:right w:w="0" w:type="dxa"/>
            </w:tcMar>
            <w:vAlign w:val="top"/>
          </w:tcPr>
          <w:p w14:paraId="383CF572">
            <w:pPr>
              <w:pStyle w:val="4"/>
              <w:keepNext w:val="0"/>
              <w:keepLines w:val="0"/>
              <w:widowControl/>
              <w:suppressLineNumbers w:val="0"/>
              <w:rPr>
                <w:highlight w:val="none"/>
              </w:rPr>
            </w:pPr>
            <w:r>
              <w:rPr>
                <w:rStyle w:val="7"/>
                <w:highlight w:val="none"/>
              </w:rPr>
              <w:t>第八条</w:t>
            </w:r>
          </w:p>
          <w:p w14:paraId="44A6A20F">
            <w:pPr>
              <w:pStyle w:val="4"/>
              <w:keepNext w:val="0"/>
              <w:keepLines w:val="0"/>
              <w:widowControl/>
              <w:suppressLineNumbers w:val="0"/>
              <w:ind w:left="0" w:firstLine="420"/>
              <w:rPr>
                <w:highlight w:val="none"/>
              </w:rPr>
            </w:pPr>
            <w:r>
              <w:rPr>
                <w:highlight w:val="none"/>
              </w:rPr>
              <w:t>在突发公共卫生事件应急响应期间，根据突发公共卫生事件应急响应范围，省级及以上卫生健康行政部门或其确定的专业机构，可以在科学论证的基础上，牵头组织省域范围内或全国范围内的临床研究。</w:t>
            </w:r>
          </w:p>
          <w:p w14:paraId="1E0050E2">
            <w:pPr>
              <w:pStyle w:val="4"/>
              <w:keepNext w:val="0"/>
              <w:keepLines w:val="0"/>
              <w:widowControl/>
              <w:suppressLineNumbers w:val="0"/>
              <w:ind w:left="0" w:firstLine="420"/>
              <w:rPr>
                <w:highlight w:val="none"/>
              </w:rPr>
            </w:pPr>
            <w:r>
              <w:rPr>
                <w:highlight w:val="none"/>
              </w:rPr>
              <w:t>医疗卫生机构自主开展的临床研究与上述研究发生冲突时，医疗卫生机构应优先保障完成上述研究，同时暂停医疗卫生机构自主开展的临床研究受试者新入组。</w:t>
            </w:r>
          </w:p>
        </w:tc>
        <w:tc>
          <w:tcPr>
            <w:tcW w:w="2594" w:type="pct"/>
            <w:tcBorders>
              <w:top w:val="nil"/>
              <w:left w:val="nil"/>
              <w:bottom w:val="nil"/>
              <w:right w:val="nil"/>
            </w:tcBorders>
            <w:shd w:val="clear" w:color="auto" w:fill="E1FFC8"/>
            <w:tcMar>
              <w:top w:w="0" w:type="dxa"/>
              <w:left w:w="0" w:type="dxa"/>
              <w:bottom w:w="0" w:type="dxa"/>
              <w:right w:w="0" w:type="dxa"/>
            </w:tcMar>
            <w:vAlign w:val="top"/>
          </w:tcPr>
          <w:p w14:paraId="5ABEDB92">
            <w:pPr>
              <w:pStyle w:val="4"/>
              <w:keepNext w:val="0"/>
              <w:keepLines w:val="0"/>
              <w:widowControl/>
              <w:suppressLineNumbers w:val="0"/>
              <w:rPr>
                <w:highlight w:val="none"/>
              </w:rPr>
            </w:pPr>
            <w:r>
              <w:rPr>
                <w:rStyle w:val="7"/>
                <w:highlight w:val="none"/>
              </w:rPr>
              <w:t>第八条</w:t>
            </w:r>
          </w:p>
          <w:p w14:paraId="18E4F8D4">
            <w:pPr>
              <w:pStyle w:val="4"/>
              <w:keepNext w:val="0"/>
              <w:keepLines w:val="0"/>
              <w:widowControl/>
              <w:suppressLineNumbers w:val="0"/>
              <w:ind w:left="0" w:firstLine="420"/>
              <w:rPr>
                <w:highlight w:val="none"/>
              </w:rPr>
            </w:pPr>
            <w:r>
              <w:rPr>
                <w:highlight w:val="none"/>
              </w:rPr>
              <w:t>在突发公共卫生事件应急响应期间，根据突发公共卫生事件应急响应范围，省级及以上卫生健康行政部门或其确定的专业机构，可以在科学论证的基础上，牵头组织省域范围内或全国范围内的临床研究。</w:t>
            </w:r>
          </w:p>
          <w:p w14:paraId="7FF99FF8">
            <w:pPr>
              <w:pStyle w:val="4"/>
              <w:keepNext w:val="0"/>
              <w:keepLines w:val="0"/>
              <w:widowControl/>
              <w:suppressLineNumbers w:val="0"/>
              <w:ind w:left="0" w:firstLine="420"/>
              <w:rPr>
                <w:highlight w:val="none"/>
              </w:rPr>
            </w:pPr>
            <w:r>
              <w:rPr>
                <w:highlight w:val="none"/>
              </w:rPr>
              <w:t>医疗卫生机构自主开展的临床研究与上述研究发生冲突时，医疗卫生机构应当优先保障完成上述研究，同时暂停医疗卫生机构自主开展的临床研究受试者新入组。</w:t>
            </w:r>
          </w:p>
        </w:tc>
      </w:tr>
      <w:tr w14:paraId="72D2B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362" w:type="pct"/>
            <w:tcBorders>
              <w:top w:val="nil"/>
              <w:left w:val="nil"/>
              <w:bottom w:val="nil"/>
              <w:right w:val="nil"/>
            </w:tcBorders>
            <w:shd w:val="clear" w:color="auto" w:fill="FAFFC8"/>
            <w:tcMar>
              <w:top w:w="0" w:type="dxa"/>
              <w:left w:w="0" w:type="dxa"/>
              <w:bottom w:w="0" w:type="dxa"/>
              <w:right w:w="0" w:type="dxa"/>
            </w:tcMar>
            <w:vAlign w:val="top"/>
          </w:tcPr>
          <w:p w14:paraId="025DC0C3">
            <w:pPr>
              <w:pStyle w:val="4"/>
              <w:keepNext w:val="0"/>
              <w:keepLines w:val="0"/>
              <w:widowControl/>
              <w:suppressLineNumbers w:val="0"/>
              <w:rPr>
                <w:highlight w:val="none"/>
              </w:rPr>
            </w:pPr>
            <w:r>
              <w:rPr>
                <w:rStyle w:val="7"/>
                <w:highlight w:val="none"/>
              </w:rPr>
              <w:t>第二章  基本分类及原则性要求</w:t>
            </w:r>
          </w:p>
        </w:tc>
        <w:tc>
          <w:tcPr>
            <w:tcW w:w="2594" w:type="pct"/>
            <w:tcBorders>
              <w:top w:val="nil"/>
              <w:left w:val="nil"/>
              <w:bottom w:val="nil"/>
              <w:right w:val="nil"/>
            </w:tcBorders>
            <w:shd w:val="clear" w:color="auto" w:fill="E1FFC8"/>
            <w:tcMar>
              <w:top w:w="0" w:type="dxa"/>
              <w:left w:w="0" w:type="dxa"/>
              <w:bottom w:w="0" w:type="dxa"/>
              <w:right w:w="0" w:type="dxa"/>
            </w:tcMar>
            <w:vAlign w:val="top"/>
          </w:tcPr>
          <w:p w14:paraId="72BD9B7B">
            <w:pPr>
              <w:pStyle w:val="4"/>
              <w:keepNext w:val="0"/>
              <w:keepLines w:val="0"/>
              <w:widowControl/>
              <w:suppressLineNumbers w:val="0"/>
              <w:rPr>
                <w:highlight w:val="none"/>
              </w:rPr>
            </w:pPr>
            <w:r>
              <w:rPr>
                <w:rStyle w:val="7"/>
                <w:highlight w:val="none"/>
              </w:rPr>
              <w:t>第二章  基本分类及原则性要求</w:t>
            </w:r>
          </w:p>
        </w:tc>
      </w:tr>
      <w:tr w14:paraId="718B7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362" w:type="pct"/>
            <w:tcBorders>
              <w:top w:val="nil"/>
              <w:left w:val="nil"/>
              <w:bottom w:val="nil"/>
              <w:right w:val="nil"/>
            </w:tcBorders>
            <w:shd w:val="clear" w:color="auto" w:fill="FAFFC8"/>
            <w:tcMar>
              <w:top w:w="0" w:type="dxa"/>
              <w:left w:w="0" w:type="dxa"/>
              <w:bottom w:w="0" w:type="dxa"/>
              <w:right w:w="0" w:type="dxa"/>
            </w:tcMar>
            <w:vAlign w:val="top"/>
          </w:tcPr>
          <w:p w14:paraId="12E0FBB4">
            <w:pPr>
              <w:pStyle w:val="4"/>
              <w:keepNext w:val="0"/>
              <w:keepLines w:val="0"/>
              <w:widowControl/>
              <w:suppressLineNumbers w:val="0"/>
              <w:rPr>
                <w:highlight w:val="none"/>
              </w:rPr>
            </w:pPr>
            <w:r>
              <w:rPr>
                <w:rStyle w:val="7"/>
                <w:highlight w:val="none"/>
              </w:rPr>
              <w:t>第九条</w:t>
            </w:r>
          </w:p>
          <w:p w14:paraId="16D3FF54">
            <w:pPr>
              <w:pStyle w:val="4"/>
              <w:keepNext w:val="0"/>
              <w:keepLines w:val="0"/>
              <w:widowControl/>
              <w:suppressLineNumbers w:val="0"/>
              <w:ind w:left="0" w:firstLine="420"/>
              <w:rPr>
                <w:highlight w:val="none"/>
              </w:rPr>
            </w:pPr>
            <w:r>
              <w:rPr>
                <w:highlight w:val="none"/>
              </w:rPr>
              <w:t>根据研究者是否基于研究目的主动施加某种干预措施（以下简称研究性干预措施），临床研究可以分为观察性研究和干预性研究。</w:t>
            </w:r>
          </w:p>
        </w:tc>
        <w:tc>
          <w:tcPr>
            <w:tcW w:w="2594" w:type="pct"/>
            <w:tcBorders>
              <w:top w:val="nil"/>
              <w:left w:val="nil"/>
              <w:bottom w:val="nil"/>
              <w:right w:val="nil"/>
            </w:tcBorders>
            <w:shd w:val="clear" w:color="auto" w:fill="E1FFC8"/>
            <w:tcMar>
              <w:top w:w="0" w:type="dxa"/>
              <w:left w:w="0" w:type="dxa"/>
              <w:bottom w:w="0" w:type="dxa"/>
              <w:right w:w="0" w:type="dxa"/>
            </w:tcMar>
            <w:vAlign w:val="top"/>
          </w:tcPr>
          <w:p w14:paraId="3529791C">
            <w:pPr>
              <w:pStyle w:val="4"/>
              <w:keepNext w:val="0"/>
              <w:keepLines w:val="0"/>
              <w:widowControl/>
              <w:suppressLineNumbers w:val="0"/>
              <w:rPr>
                <w:highlight w:val="none"/>
              </w:rPr>
            </w:pPr>
            <w:r>
              <w:rPr>
                <w:rStyle w:val="7"/>
                <w:highlight w:val="none"/>
              </w:rPr>
              <w:t>第九条</w:t>
            </w:r>
          </w:p>
          <w:p w14:paraId="03205606">
            <w:pPr>
              <w:pStyle w:val="4"/>
              <w:keepNext w:val="0"/>
              <w:keepLines w:val="0"/>
              <w:widowControl/>
              <w:suppressLineNumbers w:val="0"/>
              <w:ind w:left="0" w:firstLine="420"/>
              <w:rPr>
                <w:highlight w:val="none"/>
              </w:rPr>
            </w:pPr>
            <w:r>
              <w:rPr>
                <w:highlight w:val="none"/>
              </w:rPr>
              <w:t>根据研究者是否</w:t>
            </w:r>
            <w:r>
              <w:rPr>
                <w:highlight w:val="none"/>
              </w:rPr>
              <w:t>基于研究目的</w:t>
            </w:r>
            <w:r>
              <w:rPr>
                <w:highlight w:val="none"/>
              </w:rPr>
              <w:t>施加某种干预措施(以下简称研究性干预措施),临床研究可以分为观察性研究和干预性研究。</w:t>
            </w:r>
          </w:p>
        </w:tc>
      </w:tr>
      <w:tr w14:paraId="7F9AC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362" w:type="pct"/>
            <w:tcBorders>
              <w:top w:val="nil"/>
              <w:left w:val="nil"/>
              <w:bottom w:val="nil"/>
              <w:right w:val="nil"/>
            </w:tcBorders>
            <w:shd w:val="clear" w:color="auto" w:fill="FAFFC8"/>
            <w:tcMar>
              <w:top w:w="0" w:type="dxa"/>
              <w:left w:w="0" w:type="dxa"/>
              <w:bottom w:w="0" w:type="dxa"/>
              <w:right w:w="0" w:type="dxa"/>
            </w:tcMar>
            <w:vAlign w:val="top"/>
          </w:tcPr>
          <w:p w14:paraId="7A88199A">
            <w:pPr>
              <w:pStyle w:val="4"/>
              <w:keepNext w:val="0"/>
              <w:keepLines w:val="0"/>
              <w:widowControl/>
              <w:suppressLineNumbers w:val="0"/>
              <w:rPr>
                <w:highlight w:val="none"/>
              </w:rPr>
            </w:pPr>
            <w:r>
              <w:rPr>
                <w:rStyle w:val="7"/>
                <w:highlight w:val="none"/>
              </w:rPr>
              <w:t>第十条</w:t>
            </w:r>
          </w:p>
          <w:p w14:paraId="0FC81272">
            <w:pPr>
              <w:pStyle w:val="4"/>
              <w:keepNext w:val="0"/>
              <w:keepLines w:val="0"/>
              <w:widowControl/>
              <w:suppressLineNumbers w:val="0"/>
              <w:ind w:left="0" w:firstLine="420"/>
              <w:rPr>
                <w:highlight w:val="none"/>
              </w:rPr>
            </w:pPr>
            <w:r>
              <w:rPr>
                <w:highlight w:val="none"/>
              </w:rPr>
              <w:t>开展观察性研究，不得对研究对象施加研究性干预措施，不得使研究对象承担超出常规诊疗或疾病防控需要的额外健康（疾病）风险或经济负担。</w:t>
            </w:r>
          </w:p>
          <w:p w14:paraId="5FFE3849">
            <w:pPr>
              <w:pStyle w:val="4"/>
              <w:keepNext w:val="0"/>
              <w:keepLines w:val="0"/>
              <w:widowControl/>
              <w:suppressLineNumbers w:val="0"/>
              <w:ind w:left="0" w:firstLine="420"/>
              <w:rPr>
                <w:highlight w:val="none"/>
              </w:rPr>
            </w:pPr>
            <w:r>
              <w:rPr>
                <w:highlight w:val="none"/>
              </w:rPr>
              <w:t>研究对象因参加观察性研究接受超出常规诊疗或疾病防控需要的额外检查、检验、诊断等措施，可能造成的风险超出最小风险的，</w:t>
            </w:r>
            <w:r>
              <w:rPr>
                <w:rStyle w:val="7"/>
                <w:color w:val="A65BCB"/>
                <w:highlight w:val="none"/>
              </w:rPr>
              <w:t>参照</w:t>
            </w:r>
            <w:r>
              <w:rPr>
                <w:highlight w:val="none"/>
              </w:rPr>
              <w:t>干预性研究管理。</w:t>
            </w:r>
          </w:p>
        </w:tc>
        <w:tc>
          <w:tcPr>
            <w:tcW w:w="2594" w:type="pct"/>
            <w:tcBorders>
              <w:top w:val="nil"/>
              <w:left w:val="nil"/>
              <w:bottom w:val="nil"/>
              <w:right w:val="nil"/>
            </w:tcBorders>
            <w:shd w:val="clear" w:color="auto" w:fill="E1FFC8"/>
            <w:tcMar>
              <w:top w:w="0" w:type="dxa"/>
              <w:left w:w="0" w:type="dxa"/>
              <w:bottom w:w="0" w:type="dxa"/>
              <w:right w:w="0" w:type="dxa"/>
            </w:tcMar>
            <w:vAlign w:val="top"/>
          </w:tcPr>
          <w:p w14:paraId="70B8EEAB">
            <w:pPr>
              <w:pStyle w:val="4"/>
              <w:keepNext w:val="0"/>
              <w:keepLines w:val="0"/>
              <w:widowControl/>
              <w:suppressLineNumbers w:val="0"/>
              <w:rPr>
                <w:highlight w:val="none"/>
              </w:rPr>
            </w:pPr>
            <w:r>
              <w:rPr>
                <w:rStyle w:val="7"/>
                <w:highlight w:val="none"/>
              </w:rPr>
              <w:t>第十条</w:t>
            </w:r>
          </w:p>
          <w:p w14:paraId="769712B3">
            <w:pPr>
              <w:pStyle w:val="4"/>
              <w:keepNext w:val="0"/>
              <w:keepLines w:val="0"/>
              <w:widowControl/>
              <w:suppressLineNumbers w:val="0"/>
              <w:ind w:left="0" w:firstLine="420"/>
              <w:rPr>
                <w:highlight w:val="none"/>
              </w:rPr>
            </w:pPr>
            <w:r>
              <w:rPr>
                <w:highlight w:val="none"/>
              </w:rPr>
              <w:t>开展观察性研究，不得对研究参与者施加研究性干预措施，不得使研究参与者承担超出常规诊疗或疾病防控需要的额外健康(疾病)风险或经济负担。</w:t>
            </w:r>
            <w:r>
              <w:rPr>
                <w:rStyle w:val="7"/>
                <w:color w:val="FF0000"/>
                <w:highlight w:val="none"/>
              </w:rPr>
              <w:t>除另有规定外，观察性研究应当通过伦理审查。研究参与者</w:t>
            </w:r>
            <w:r>
              <w:rPr>
                <w:highlight w:val="none"/>
              </w:rPr>
              <w:t>因参加观察性研究接受超出常规诊疗或疾病防控需要的额外检查、检验、诊断等措施，可能造成的风险超出最小风险的，</w:t>
            </w:r>
            <w:r>
              <w:rPr>
                <w:rStyle w:val="7"/>
                <w:color w:val="FF0000"/>
                <w:highlight w:val="none"/>
              </w:rPr>
              <w:t>按照</w:t>
            </w:r>
            <w:r>
              <w:rPr>
                <w:highlight w:val="none"/>
              </w:rPr>
              <w:t>干预性研究管理。</w:t>
            </w:r>
          </w:p>
        </w:tc>
      </w:tr>
      <w:tr w14:paraId="33B6A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362" w:type="pct"/>
            <w:tcBorders>
              <w:top w:val="nil"/>
              <w:left w:val="nil"/>
              <w:bottom w:val="nil"/>
              <w:right w:val="nil"/>
            </w:tcBorders>
            <w:shd w:val="clear" w:color="auto" w:fill="FAFFC8"/>
            <w:tcMar>
              <w:top w:w="0" w:type="dxa"/>
              <w:left w:w="0" w:type="dxa"/>
              <w:bottom w:w="0" w:type="dxa"/>
              <w:right w:w="0" w:type="dxa"/>
            </w:tcMar>
            <w:vAlign w:val="top"/>
          </w:tcPr>
          <w:p w14:paraId="4F589223">
            <w:pPr>
              <w:pStyle w:val="4"/>
              <w:keepNext w:val="0"/>
              <w:keepLines w:val="0"/>
              <w:widowControl/>
              <w:suppressLineNumbers w:val="0"/>
              <w:rPr>
                <w:highlight w:val="none"/>
              </w:rPr>
            </w:pPr>
            <w:r>
              <w:rPr>
                <w:rStyle w:val="7"/>
                <w:highlight w:val="none"/>
              </w:rPr>
              <w:t>第十一条</w:t>
            </w:r>
          </w:p>
          <w:p w14:paraId="3036881C">
            <w:pPr>
              <w:pStyle w:val="4"/>
              <w:keepNext w:val="0"/>
              <w:keepLines w:val="0"/>
              <w:widowControl/>
              <w:suppressLineNumbers w:val="0"/>
              <w:ind w:left="0" w:firstLine="420"/>
              <w:rPr>
                <w:highlight w:val="none"/>
              </w:rPr>
            </w:pPr>
            <w:r>
              <w:rPr>
                <w:highlight w:val="none"/>
              </w:rPr>
              <w:t>开展干预性研究，研究性干预措施应当符合医学的基本理论和伦理规范、具有扎实的前期研究基础、制定科学规范的研究方案和风险预案、通过科学性审查和伦理审查。</w:t>
            </w:r>
          </w:p>
          <w:p w14:paraId="1AE8487B">
            <w:pPr>
              <w:pStyle w:val="4"/>
              <w:keepNext w:val="0"/>
              <w:keepLines w:val="0"/>
              <w:widowControl/>
              <w:suppressLineNumbers w:val="0"/>
              <w:ind w:left="0" w:firstLine="420"/>
              <w:rPr>
                <w:highlight w:val="none"/>
              </w:rPr>
            </w:pPr>
            <w:r>
              <w:rPr>
                <w:highlight w:val="none"/>
              </w:rPr>
              <w:t>医疗卫生机构和研究者应当对干预性研究可能出现的风险进行评估，具备与风险相适应的处置能力，妥善保护干预性研究的</w:t>
            </w:r>
            <w:r>
              <w:rPr>
                <w:rStyle w:val="7"/>
                <w:color w:val="A65BCB"/>
                <w:highlight w:val="none"/>
              </w:rPr>
              <w:t>研究对象</w:t>
            </w:r>
            <w:r>
              <w:rPr>
                <w:highlight w:val="none"/>
              </w:rPr>
              <w:t>（以下简称受试者）的健康权益，不得违反临床研究管理规定向受试者收取与研究相关的费用，对于受试者在受试过程中支出的合理费用还应当给予适当补偿。</w:t>
            </w:r>
          </w:p>
          <w:p w14:paraId="501C001C">
            <w:pPr>
              <w:pStyle w:val="4"/>
              <w:keepNext w:val="0"/>
              <w:keepLines w:val="0"/>
              <w:widowControl/>
              <w:suppressLineNumbers w:val="0"/>
              <w:ind w:left="0" w:firstLine="420"/>
              <w:rPr>
                <w:highlight w:val="none"/>
              </w:rPr>
            </w:pPr>
            <w:r>
              <w:rPr>
                <w:highlight w:val="none"/>
              </w:rPr>
              <w:t>干预性研究一般由三级医疗机构、设区的市级及以上卫生机构牵头开展， 其他医疗卫生机构可以参与干预性研究。</w:t>
            </w:r>
          </w:p>
          <w:p w14:paraId="7FA9BC66">
            <w:pPr>
              <w:pStyle w:val="4"/>
              <w:keepNext w:val="0"/>
              <w:keepLines w:val="0"/>
              <w:widowControl/>
              <w:suppressLineNumbers w:val="0"/>
              <w:ind w:left="0" w:firstLine="420"/>
              <w:rPr>
                <w:highlight w:val="none"/>
              </w:rPr>
            </w:pPr>
            <w:r>
              <w:rPr>
                <w:highlight w:val="none"/>
              </w:rPr>
              <w:t>研究性干预措施为临床干预措施的，应当建立多学科研究团队，成员必须包括具备相应执业资格的医师，研究过程中涉及的医学判断、临床决策应当由其作出，原则上主要研究者须具备相应的医师执业资格。</w:t>
            </w:r>
          </w:p>
        </w:tc>
        <w:tc>
          <w:tcPr>
            <w:tcW w:w="2594" w:type="pct"/>
            <w:tcBorders>
              <w:top w:val="nil"/>
              <w:left w:val="nil"/>
              <w:bottom w:val="nil"/>
              <w:right w:val="nil"/>
            </w:tcBorders>
            <w:shd w:val="clear" w:color="auto" w:fill="E1FFC8"/>
            <w:tcMar>
              <w:top w:w="0" w:type="dxa"/>
              <w:left w:w="0" w:type="dxa"/>
              <w:bottom w:w="0" w:type="dxa"/>
              <w:right w:w="0" w:type="dxa"/>
            </w:tcMar>
            <w:vAlign w:val="top"/>
          </w:tcPr>
          <w:p w14:paraId="2B727A49">
            <w:pPr>
              <w:pStyle w:val="4"/>
              <w:keepNext w:val="0"/>
              <w:keepLines w:val="0"/>
              <w:widowControl/>
              <w:suppressLineNumbers w:val="0"/>
              <w:rPr>
                <w:highlight w:val="none"/>
              </w:rPr>
            </w:pPr>
            <w:r>
              <w:rPr>
                <w:rStyle w:val="7"/>
                <w:highlight w:val="none"/>
              </w:rPr>
              <w:t>第十一条</w:t>
            </w:r>
          </w:p>
          <w:p w14:paraId="6844AF9A">
            <w:pPr>
              <w:pStyle w:val="4"/>
              <w:keepNext w:val="0"/>
              <w:keepLines w:val="0"/>
              <w:widowControl/>
              <w:suppressLineNumbers w:val="0"/>
              <w:ind w:left="0" w:firstLine="420"/>
              <w:rPr>
                <w:highlight w:val="none"/>
              </w:rPr>
            </w:pPr>
            <w:r>
              <w:rPr>
                <w:highlight w:val="none"/>
              </w:rPr>
              <w:t>开展干预性研究，研究性干预措施应当符合医学的基本理论和伦理规范、具有扎实的前期研究基础、制定科学规范的研究方案和风险预案、通过科学性审查和伦理审查。</w:t>
            </w:r>
          </w:p>
          <w:p w14:paraId="6C82D9EB">
            <w:pPr>
              <w:pStyle w:val="4"/>
              <w:keepNext w:val="0"/>
              <w:keepLines w:val="0"/>
              <w:widowControl/>
              <w:suppressLineNumbers w:val="0"/>
              <w:ind w:left="0" w:firstLine="420"/>
              <w:rPr>
                <w:highlight w:val="none"/>
              </w:rPr>
            </w:pPr>
            <w:r>
              <w:rPr>
                <w:highlight w:val="none"/>
              </w:rPr>
              <w:t>医疗卫生机构和研究者应当对干预性研究可能出现的风险进行评估，具备与风险相适应的处置能力，妥善保护干预性研究的</w:t>
            </w:r>
            <w:r>
              <w:rPr>
                <w:rStyle w:val="7"/>
                <w:color w:val="FF0000"/>
                <w:highlight w:val="none"/>
              </w:rPr>
              <w:t>研究参与者</w:t>
            </w:r>
            <w:r>
              <w:rPr>
                <w:highlight w:val="none"/>
              </w:rPr>
              <w:t>(以下简称受试者)的健康权益，</w:t>
            </w:r>
            <w:r>
              <w:rPr>
                <w:highlight w:val="none"/>
              </w:rPr>
              <w:t>不得违反临床研究管理规定向受试者收取与研究相关的费用</w:t>
            </w:r>
            <w:r>
              <w:rPr>
                <w:highlight w:val="none"/>
              </w:rPr>
              <w:t>，对于受试者在受试过程中支出的合理费用还应当给予适当补偿。</w:t>
            </w:r>
          </w:p>
          <w:p w14:paraId="2D97844E">
            <w:pPr>
              <w:pStyle w:val="4"/>
              <w:keepNext w:val="0"/>
              <w:keepLines w:val="0"/>
              <w:widowControl/>
              <w:suppressLineNumbers w:val="0"/>
              <w:ind w:left="0" w:firstLine="420"/>
              <w:rPr>
                <w:highlight w:val="none"/>
              </w:rPr>
            </w:pPr>
            <w:r>
              <w:rPr>
                <w:highlight w:val="none"/>
              </w:rPr>
              <w:t>干预性研究一般由三级医疗机构、设区的市级及以上卫生机构牵头开展，其他医疗卫生机构可以参与干预性研究。</w:t>
            </w:r>
          </w:p>
          <w:p w14:paraId="1A75C406">
            <w:pPr>
              <w:pStyle w:val="4"/>
              <w:keepNext w:val="0"/>
              <w:keepLines w:val="0"/>
              <w:widowControl/>
              <w:suppressLineNumbers w:val="0"/>
              <w:ind w:left="0" w:firstLine="420"/>
              <w:rPr>
                <w:highlight w:val="none"/>
              </w:rPr>
            </w:pPr>
            <w:r>
              <w:rPr>
                <w:highlight w:val="none"/>
              </w:rPr>
              <w:t>研究性干预措施为临床干预措施的，应当建立多学科研究团队，成员必须包括具备相应执业资格的医师，研究过程中涉及的医学判断、临床决策应当由其作出，原则上主要研究者须具备相应的医师执业资格。</w:t>
            </w:r>
          </w:p>
        </w:tc>
      </w:tr>
      <w:tr w14:paraId="54C23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362" w:type="pct"/>
            <w:tcBorders>
              <w:top w:val="nil"/>
              <w:left w:val="nil"/>
              <w:bottom w:val="nil"/>
              <w:right w:val="nil"/>
            </w:tcBorders>
            <w:shd w:val="clear" w:color="auto" w:fill="FAFFC8"/>
            <w:tcMar>
              <w:top w:w="0" w:type="dxa"/>
              <w:left w:w="0" w:type="dxa"/>
              <w:bottom w:w="0" w:type="dxa"/>
              <w:right w:w="0" w:type="dxa"/>
            </w:tcMar>
            <w:vAlign w:val="top"/>
          </w:tcPr>
          <w:p w14:paraId="27F2D9BA">
            <w:pPr>
              <w:pStyle w:val="4"/>
              <w:keepNext w:val="0"/>
              <w:keepLines w:val="0"/>
              <w:widowControl/>
              <w:suppressLineNumbers w:val="0"/>
              <w:rPr>
                <w:highlight w:val="none"/>
              </w:rPr>
            </w:pPr>
            <w:r>
              <w:rPr>
                <w:rStyle w:val="7"/>
                <w:highlight w:val="none"/>
              </w:rPr>
              <w:t>第十三条</w:t>
            </w:r>
          </w:p>
          <w:p w14:paraId="7F19B18B">
            <w:pPr>
              <w:pStyle w:val="4"/>
              <w:keepNext w:val="0"/>
              <w:keepLines w:val="0"/>
              <w:widowControl/>
              <w:suppressLineNumbers w:val="0"/>
              <w:ind w:left="0" w:firstLine="420"/>
              <w:rPr>
                <w:highlight w:val="none"/>
              </w:rPr>
            </w:pPr>
            <w:r>
              <w:rPr>
                <w:highlight w:val="none"/>
              </w:rPr>
              <w:t>以手术和操作、物理治疗、心理治疗、行为干预、 临床诊疗方案、群体性健康措施、生物医学技术等为干预措施的临床研究，应当使用已经批准上市的药品、医疗器械等产品并在产品批准的适用范围内或在符合产品临床应用指导原则的前提下开展。</w:t>
            </w:r>
          </w:p>
        </w:tc>
        <w:tc>
          <w:tcPr>
            <w:tcW w:w="2594" w:type="pct"/>
            <w:tcBorders>
              <w:top w:val="nil"/>
              <w:left w:val="nil"/>
              <w:bottom w:val="nil"/>
              <w:right w:val="nil"/>
            </w:tcBorders>
            <w:shd w:val="clear" w:color="auto" w:fill="E1FFC8"/>
            <w:tcMar>
              <w:top w:w="0" w:type="dxa"/>
              <w:left w:w="0" w:type="dxa"/>
              <w:bottom w:w="0" w:type="dxa"/>
              <w:right w:w="0" w:type="dxa"/>
            </w:tcMar>
            <w:vAlign w:val="top"/>
          </w:tcPr>
          <w:p w14:paraId="55363863">
            <w:pPr>
              <w:pStyle w:val="4"/>
              <w:keepNext w:val="0"/>
              <w:keepLines w:val="0"/>
              <w:widowControl/>
              <w:suppressLineNumbers w:val="0"/>
              <w:rPr>
                <w:highlight w:val="none"/>
              </w:rPr>
            </w:pPr>
            <w:r>
              <w:rPr>
                <w:rStyle w:val="7"/>
                <w:highlight w:val="none"/>
              </w:rPr>
              <w:t>第十二条</w:t>
            </w:r>
          </w:p>
          <w:p w14:paraId="66B3E236">
            <w:pPr>
              <w:pStyle w:val="4"/>
              <w:keepNext w:val="0"/>
              <w:keepLines w:val="0"/>
              <w:widowControl/>
              <w:suppressLineNumbers w:val="0"/>
              <w:ind w:left="0" w:firstLine="420"/>
              <w:rPr>
                <w:highlight w:val="none"/>
              </w:rPr>
            </w:pPr>
            <w:r>
              <w:rPr>
                <w:highlight w:val="none"/>
              </w:rPr>
              <w:t>以手术和操作、物理治疗、心理治疗、行为干预、临床诊疗方案、群体性健康措施、生物医学技术等为干预措施的临床研究，应当使用已经批准上市的药品、医疗器械等产品并在产品批准的适用范围内或在符合产品临床应用指导原则的前提下开展。</w:t>
            </w:r>
          </w:p>
        </w:tc>
      </w:tr>
      <w:tr w14:paraId="08291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362" w:type="pct"/>
            <w:tcBorders>
              <w:top w:val="nil"/>
              <w:left w:val="nil"/>
              <w:bottom w:val="nil"/>
              <w:right w:val="nil"/>
            </w:tcBorders>
            <w:shd w:val="clear" w:color="auto" w:fill="FAFFC8"/>
            <w:tcMar>
              <w:top w:w="0" w:type="dxa"/>
              <w:left w:w="0" w:type="dxa"/>
              <w:bottom w:w="0" w:type="dxa"/>
              <w:right w:w="0" w:type="dxa"/>
            </w:tcMar>
            <w:vAlign w:val="top"/>
          </w:tcPr>
          <w:p w14:paraId="685AB05D">
            <w:pPr>
              <w:pStyle w:val="4"/>
              <w:keepNext w:val="0"/>
              <w:keepLines w:val="0"/>
              <w:widowControl/>
              <w:suppressLineNumbers w:val="0"/>
              <w:rPr>
                <w:highlight w:val="none"/>
              </w:rPr>
            </w:pPr>
            <w:r>
              <w:rPr>
                <w:rStyle w:val="7"/>
                <w:highlight w:val="none"/>
              </w:rPr>
              <w:t>第十二条</w:t>
            </w:r>
          </w:p>
          <w:p w14:paraId="7EA566D3">
            <w:pPr>
              <w:pStyle w:val="4"/>
              <w:keepNext w:val="0"/>
              <w:keepLines w:val="0"/>
              <w:widowControl/>
              <w:suppressLineNumbers w:val="0"/>
              <w:ind w:left="0" w:firstLine="420"/>
              <w:rPr>
                <w:highlight w:val="none"/>
              </w:rPr>
            </w:pPr>
            <w:r>
              <w:rPr>
                <w:highlight w:val="none"/>
              </w:rPr>
              <w:t>以上市后药品、医疗器械等产品为研究性干预措施的临床研究， 一般在遵循产品临床应用指导原则、临床诊疗指南和说明书的前提下开展。</w:t>
            </w:r>
          </w:p>
          <w:p w14:paraId="1B894367">
            <w:pPr>
              <w:pStyle w:val="4"/>
              <w:keepNext w:val="0"/>
              <w:keepLines w:val="0"/>
              <w:widowControl/>
              <w:suppressLineNumbers w:val="0"/>
              <w:ind w:left="0" w:firstLine="420"/>
              <w:rPr>
                <w:highlight w:val="none"/>
              </w:rPr>
            </w:pPr>
            <w:r>
              <w:rPr>
                <w:highlight w:val="none"/>
              </w:rPr>
              <w:t>当同时满足下列条件时， 可以超出上述范围开展干预性研究。</w:t>
            </w:r>
          </w:p>
          <w:p w14:paraId="4D76DFA8">
            <w:pPr>
              <w:pStyle w:val="4"/>
              <w:keepNext w:val="0"/>
              <w:keepLines w:val="0"/>
              <w:widowControl/>
              <w:suppressLineNumbers w:val="0"/>
              <w:ind w:left="0" w:firstLine="420"/>
              <w:rPr>
                <w:highlight w:val="none"/>
              </w:rPr>
            </w:pPr>
            <w:r>
              <w:rPr>
                <w:highlight w:val="none"/>
              </w:rPr>
              <w:t>（一）在临床研究管理体系完备的三级甲等医院或与之具有相同医疗技术水平和医疗保障能力的医院开展。</w:t>
            </w:r>
          </w:p>
          <w:p w14:paraId="00D0A284">
            <w:pPr>
              <w:pStyle w:val="4"/>
              <w:keepNext w:val="0"/>
              <w:keepLines w:val="0"/>
              <w:widowControl/>
              <w:suppressLineNumbers w:val="0"/>
              <w:ind w:left="0" w:firstLine="420"/>
              <w:rPr>
                <w:highlight w:val="none"/>
              </w:rPr>
            </w:pPr>
            <w:r>
              <w:rPr>
                <w:highlight w:val="none"/>
              </w:rPr>
              <w:t>（二） 针对严重危害人的生命健康或者严重影响生存质量且目前无确切有效干预措施的疾病，或者虽有确切有效的干预措施但不可获取或者研究性干预措施具有显著的卫生经济学效益。</w:t>
            </w:r>
          </w:p>
          <w:p w14:paraId="3F9BE2A6">
            <w:pPr>
              <w:pStyle w:val="4"/>
              <w:keepNext w:val="0"/>
              <w:keepLines w:val="0"/>
              <w:widowControl/>
              <w:suppressLineNumbers w:val="0"/>
              <w:ind w:left="0" w:firstLine="420"/>
              <w:rPr>
                <w:highlight w:val="none"/>
              </w:rPr>
            </w:pPr>
            <w:r>
              <w:rPr>
                <w:highlight w:val="none"/>
              </w:rPr>
              <w:t>（三）有体外实验手段、动物模型的， 相关实验研究结果应当支持开展临床研究；或者观察性研究结果提示确有必要开展干预性研究。</w:t>
            </w:r>
          </w:p>
          <w:p w14:paraId="2EB6D148">
            <w:pPr>
              <w:pStyle w:val="4"/>
              <w:keepNext w:val="0"/>
              <w:keepLines w:val="0"/>
              <w:widowControl/>
              <w:suppressLineNumbers w:val="0"/>
              <w:ind w:left="0" w:firstLine="420"/>
              <w:rPr>
                <w:highlight w:val="none"/>
              </w:rPr>
            </w:pPr>
            <w:r>
              <w:rPr>
                <w:highlight w:val="none"/>
              </w:rPr>
              <w:t>（四） 使用方法不超过现有说明书的用法用量，预期人体内药物浓度（或生物效应）可以达到有效浓度（或有效水平）；或使用方法虽超过现有说明书用法用量但有充分证据证明其安全性、耐受性良好，或具有明确的风险获益评估证据且具有良好风险控制措施。</w:t>
            </w:r>
          </w:p>
        </w:tc>
        <w:tc>
          <w:tcPr>
            <w:tcW w:w="2594" w:type="pct"/>
            <w:tcBorders>
              <w:top w:val="nil"/>
              <w:left w:val="nil"/>
              <w:bottom w:val="nil"/>
              <w:right w:val="nil"/>
            </w:tcBorders>
            <w:shd w:val="clear" w:color="auto" w:fill="E1FFC8"/>
            <w:tcMar>
              <w:top w:w="0" w:type="dxa"/>
              <w:left w:w="0" w:type="dxa"/>
              <w:bottom w:w="0" w:type="dxa"/>
              <w:right w:w="0" w:type="dxa"/>
            </w:tcMar>
            <w:vAlign w:val="top"/>
          </w:tcPr>
          <w:p w14:paraId="18024480">
            <w:pPr>
              <w:pStyle w:val="4"/>
              <w:keepNext w:val="0"/>
              <w:keepLines w:val="0"/>
              <w:widowControl/>
              <w:suppressLineNumbers w:val="0"/>
              <w:rPr>
                <w:highlight w:val="none"/>
              </w:rPr>
            </w:pPr>
            <w:r>
              <w:rPr>
                <w:rStyle w:val="7"/>
                <w:highlight w:val="none"/>
              </w:rPr>
              <w:t>第十三条</w:t>
            </w:r>
          </w:p>
          <w:p w14:paraId="45DA4DF3">
            <w:pPr>
              <w:pStyle w:val="4"/>
              <w:keepNext w:val="0"/>
              <w:keepLines w:val="0"/>
              <w:widowControl/>
              <w:suppressLineNumbers w:val="0"/>
              <w:ind w:left="0" w:firstLine="420"/>
              <w:rPr>
                <w:highlight w:val="none"/>
              </w:rPr>
            </w:pPr>
            <w:r>
              <w:rPr>
                <w:highlight w:val="none"/>
              </w:rPr>
              <w:t>以上市后药品、医疗器械等产品为研究性干预措施的临床研究，一般在遵循产品临床应用指导原则、临床诊疗指南和说明书的前提下开展。</w:t>
            </w:r>
          </w:p>
          <w:p w14:paraId="6A3BCD14">
            <w:pPr>
              <w:pStyle w:val="4"/>
              <w:keepNext w:val="0"/>
              <w:keepLines w:val="0"/>
              <w:widowControl/>
              <w:suppressLineNumbers w:val="0"/>
              <w:ind w:left="0" w:firstLine="420"/>
              <w:rPr>
                <w:highlight w:val="none"/>
              </w:rPr>
            </w:pPr>
            <w:r>
              <w:rPr>
                <w:highlight w:val="none"/>
              </w:rPr>
              <w:t>当</w:t>
            </w:r>
            <w:r>
              <w:rPr>
                <w:highlight w:val="none"/>
              </w:rPr>
              <w:t>同时满足</w:t>
            </w:r>
            <w:r>
              <w:rPr>
                <w:highlight w:val="none"/>
              </w:rPr>
              <w:t>下列条件时，</w:t>
            </w:r>
            <w:r>
              <w:rPr>
                <w:rStyle w:val="7"/>
                <w:color w:val="FF0000"/>
                <w:highlight w:val="none"/>
              </w:rPr>
              <w:t>对上市后药品、医疗器械等产品</w:t>
            </w:r>
            <w:r>
              <w:rPr>
                <w:highlight w:val="none"/>
              </w:rPr>
              <w:t>可以超出</w:t>
            </w:r>
            <w:r>
              <w:rPr>
                <w:rStyle w:val="7"/>
                <w:color w:val="FF0000"/>
                <w:highlight w:val="none"/>
              </w:rPr>
              <w:t>产品临床应用指导原则、临床诊疗指南和说明书</w:t>
            </w:r>
            <w:r>
              <w:rPr>
                <w:highlight w:val="none"/>
              </w:rPr>
              <w:t>开展干预性研究。</w:t>
            </w:r>
          </w:p>
          <w:p w14:paraId="4C103FF3">
            <w:pPr>
              <w:pStyle w:val="4"/>
              <w:keepNext w:val="0"/>
              <w:keepLines w:val="0"/>
              <w:widowControl/>
              <w:suppressLineNumbers w:val="0"/>
              <w:ind w:left="0" w:firstLine="420"/>
              <w:rPr>
                <w:highlight w:val="none"/>
              </w:rPr>
            </w:pPr>
            <w:r>
              <w:rPr>
                <w:highlight w:val="none"/>
              </w:rPr>
              <w:t>(一)由临床研究管理体系完备的三级甲等医院或与之具有相同医疗技术水平和医疗保障能力的医院【牵头】开展。</w:t>
            </w:r>
          </w:p>
          <w:p w14:paraId="14BE4B9D">
            <w:pPr>
              <w:pStyle w:val="4"/>
              <w:keepNext w:val="0"/>
              <w:keepLines w:val="0"/>
              <w:widowControl/>
              <w:suppressLineNumbers w:val="0"/>
              <w:ind w:left="0" w:firstLine="420"/>
              <w:rPr>
                <w:highlight w:val="none"/>
              </w:rPr>
            </w:pPr>
            <w:r>
              <w:rPr>
                <w:highlight w:val="none"/>
              </w:rPr>
              <w:t>(二)针对严重危害人的生命健康或者严重影响生存质量且目前无确切有效干预措施的疾病，或者虽有确切有效的干预措施但不可获取或者研究性干预措施具有显著的卫生经济学效益。</w:t>
            </w:r>
          </w:p>
          <w:p w14:paraId="0B046F4F">
            <w:pPr>
              <w:pStyle w:val="4"/>
              <w:keepNext w:val="0"/>
              <w:keepLines w:val="0"/>
              <w:widowControl/>
              <w:suppressLineNumbers w:val="0"/>
              <w:ind w:left="0" w:firstLine="420"/>
              <w:rPr>
                <w:highlight w:val="none"/>
              </w:rPr>
            </w:pPr>
            <w:r>
              <w:rPr>
                <w:highlight w:val="none"/>
              </w:rPr>
              <w:t>(三)有体外实验手段、动物模型的，相关实验研究结果应当支持开展临床研究；或者观察性研究结果提示确有必要开展干预性研究。</w:t>
            </w:r>
          </w:p>
          <w:p w14:paraId="3C565FB1">
            <w:pPr>
              <w:pStyle w:val="4"/>
              <w:keepNext w:val="0"/>
              <w:keepLines w:val="0"/>
              <w:widowControl/>
              <w:suppressLineNumbers w:val="0"/>
              <w:ind w:left="0" w:firstLine="420"/>
              <w:rPr>
                <w:highlight w:val="none"/>
              </w:rPr>
            </w:pPr>
            <w:r>
              <w:rPr>
                <w:highlight w:val="none"/>
              </w:rPr>
              <w:t>(四)使用方法不超过现有说明书的用法用量，预期人体内药物浓度(或生物效应)可以达到有效浓度(或有效水平);或者使用方法虽超过现有说明书用法用量但有充分证据证明其安全性、耐受性良好，或者具有明确的风险获益评估证据且具有良好风险控制措施。</w:t>
            </w:r>
          </w:p>
        </w:tc>
      </w:tr>
      <w:tr w14:paraId="40157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362" w:type="pct"/>
            <w:tcBorders>
              <w:top w:val="nil"/>
              <w:left w:val="nil"/>
              <w:bottom w:val="nil"/>
              <w:right w:val="nil"/>
            </w:tcBorders>
            <w:shd w:val="clear" w:color="auto" w:fill="FAFFC8"/>
            <w:tcMar>
              <w:top w:w="0" w:type="dxa"/>
              <w:left w:w="0" w:type="dxa"/>
              <w:bottom w:w="0" w:type="dxa"/>
              <w:right w:w="0" w:type="dxa"/>
            </w:tcMar>
            <w:vAlign w:val="top"/>
          </w:tcPr>
          <w:p w14:paraId="0B7C8B19">
            <w:pPr>
              <w:pStyle w:val="4"/>
              <w:keepNext w:val="0"/>
              <w:keepLines w:val="0"/>
              <w:widowControl/>
              <w:suppressLineNumbers w:val="0"/>
              <w:rPr>
                <w:highlight w:val="none"/>
              </w:rPr>
            </w:pPr>
            <w:r>
              <w:rPr>
                <w:rStyle w:val="7"/>
                <w:highlight w:val="none"/>
              </w:rPr>
              <w:t>第十四条</w:t>
            </w:r>
          </w:p>
          <w:p w14:paraId="6A263E3B">
            <w:pPr>
              <w:pStyle w:val="4"/>
              <w:keepNext w:val="0"/>
              <w:keepLines w:val="0"/>
              <w:widowControl/>
              <w:suppressLineNumbers w:val="0"/>
              <w:ind w:left="0" w:firstLine="420"/>
              <w:rPr>
                <w:highlight w:val="none"/>
              </w:rPr>
            </w:pPr>
            <w:r>
              <w:rPr>
                <w:highlight w:val="none"/>
              </w:rPr>
              <w:t>对已经得到充分验证的干预措施，不得开展无意义的重复性临床研究。</w:t>
            </w:r>
          </w:p>
        </w:tc>
        <w:tc>
          <w:tcPr>
            <w:tcW w:w="2594" w:type="pct"/>
            <w:tcBorders>
              <w:top w:val="nil"/>
              <w:left w:val="nil"/>
              <w:bottom w:val="nil"/>
              <w:right w:val="nil"/>
            </w:tcBorders>
            <w:shd w:val="clear" w:color="auto" w:fill="E1FFC8"/>
            <w:tcMar>
              <w:top w:w="0" w:type="dxa"/>
              <w:left w:w="0" w:type="dxa"/>
              <w:bottom w:w="0" w:type="dxa"/>
              <w:right w:w="0" w:type="dxa"/>
            </w:tcMar>
            <w:vAlign w:val="top"/>
          </w:tcPr>
          <w:p w14:paraId="51F3458A">
            <w:pPr>
              <w:pStyle w:val="4"/>
              <w:keepNext w:val="0"/>
              <w:keepLines w:val="0"/>
              <w:widowControl/>
              <w:suppressLineNumbers w:val="0"/>
              <w:rPr>
                <w:highlight w:val="none"/>
              </w:rPr>
            </w:pPr>
            <w:r>
              <w:rPr>
                <w:rStyle w:val="7"/>
                <w:highlight w:val="none"/>
              </w:rPr>
              <w:t>第十四条</w:t>
            </w:r>
          </w:p>
          <w:p w14:paraId="76FCFB60">
            <w:pPr>
              <w:pStyle w:val="4"/>
              <w:keepNext w:val="0"/>
              <w:keepLines w:val="0"/>
              <w:widowControl/>
              <w:suppressLineNumbers w:val="0"/>
              <w:ind w:left="0" w:firstLine="420"/>
              <w:rPr>
                <w:highlight w:val="none"/>
              </w:rPr>
            </w:pPr>
            <w:r>
              <w:rPr>
                <w:highlight w:val="none"/>
              </w:rPr>
              <w:t>对已经得到充分验证的干预措施，不得开展无意义的重复性临床研究。</w:t>
            </w:r>
          </w:p>
        </w:tc>
      </w:tr>
      <w:tr w14:paraId="7D53A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362" w:type="pct"/>
            <w:tcBorders>
              <w:top w:val="nil"/>
              <w:left w:val="nil"/>
              <w:bottom w:val="nil"/>
              <w:right w:val="nil"/>
            </w:tcBorders>
            <w:shd w:val="clear" w:color="auto" w:fill="FAFFC8"/>
            <w:tcMar>
              <w:top w:w="0" w:type="dxa"/>
              <w:left w:w="0" w:type="dxa"/>
              <w:bottom w:w="0" w:type="dxa"/>
              <w:right w:w="0" w:type="dxa"/>
            </w:tcMar>
            <w:vAlign w:val="top"/>
          </w:tcPr>
          <w:p w14:paraId="74D5DD3C">
            <w:pPr>
              <w:pStyle w:val="4"/>
              <w:keepNext w:val="0"/>
              <w:keepLines w:val="0"/>
              <w:widowControl/>
              <w:suppressLineNumbers w:val="0"/>
              <w:rPr>
                <w:highlight w:val="none"/>
              </w:rPr>
            </w:pPr>
            <w:r>
              <w:rPr>
                <w:rStyle w:val="7"/>
                <w:highlight w:val="none"/>
              </w:rPr>
              <w:t>第三章  组织管理</w:t>
            </w:r>
          </w:p>
        </w:tc>
        <w:tc>
          <w:tcPr>
            <w:tcW w:w="2594" w:type="pct"/>
            <w:tcBorders>
              <w:top w:val="nil"/>
              <w:left w:val="nil"/>
              <w:bottom w:val="nil"/>
              <w:right w:val="nil"/>
            </w:tcBorders>
            <w:shd w:val="clear" w:color="auto" w:fill="E1FFC8"/>
            <w:tcMar>
              <w:top w:w="0" w:type="dxa"/>
              <w:left w:w="0" w:type="dxa"/>
              <w:bottom w:w="0" w:type="dxa"/>
              <w:right w:w="0" w:type="dxa"/>
            </w:tcMar>
            <w:vAlign w:val="top"/>
          </w:tcPr>
          <w:p w14:paraId="6A6D736E">
            <w:pPr>
              <w:pStyle w:val="4"/>
              <w:keepNext w:val="0"/>
              <w:keepLines w:val="0"/>
              <w:widowControl/>
              <w:suppressLineNumbers w:val="0"/>
              <w:rPr>
                <w:highlight w:val="none"/>
              </w:rPr>
            </w:pPr>
            <w:r>
              <w:rPr>
                <w:rStyle w:val="7"/>
                <w:highlight w:val="none"/>
              </w:rPr>
              <w:t>第三章  组织管理</w:t>
            </w:r>
          </w:p>
        </w:tc>
      </w:tr>
      <w:tr w14:paraId="02F2C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362" w:type="pct"/>
            <w:tcBorders>
              <w:top w:val="nil"/>
              <w:left w:val="nil"/>
              <w:bottom w:val="nil"/>
              <w:right w:val="nil"/>
            </w:tcBorders>
            <w:shd w:val="clear" w:color="auto" w:fill="FAFFC8"/>
            <w:tcMar>
              <w:top w:w="0" w:type="dxa"/>
              <w:left w:w="0" w:type="dxa"/>
              <w:bottom w:w="0" w:type="dxa"/>
              <w:right w:w="0" w:type="dxa"/>
            </w:tcMar>
            <w:vAlign w:val="top"/>
          </w:tcPr>
          <w:p w14:paraId="13B53413">
            <w:pPr>
              <w:pStyle w:val="4"/>
              <w:keepNext w:val="0"/>
              <w:keepLines w:val="0"/>
              <w:widowControl/>
              <w:suppressLineNumbers w:val="0"/>
              <w:jc w:val="both"/>
              <w:rPr>
                <w:highlight w:val="none"/>
              </w:rPr>
            </w:pPr>
            <w:r>
              <w:rPr>
                <w:rStyle w:val="7"/>
                <w:highlight w:val="none"/>
              </w:rPr>
              <w:t>第十五条</w:t>
            </w:r>
          </w:p>
          <w:p w14:paraId="331D6F4F">
            <w:pPr>
              <w:pStyle w:val="4"/>
              <w:keepNext w:val="0"/>
              <w:keepLines w:val="0"/>
              <w:widowControl/>
              <w:suppressLineNumbers w:val="0"/>
              <w:ind w:left="0" w:firstLine="420"/>
              <w:jc w:val="both"/>
              <w:rPr>
                <w:highlight w:val="none"/>
              </w:rPr>
            </w:pPr>
            <w:r>
              <w:rPr>
                <w:highlight w:val="none"/>
              </w:rPr>
              <w:t>开展临床研究的医疗卫生机构应当设有临床研究管理委员会，并明确专门部门（以下称临床研究管理部门）负责临床研究管理。</w:t>
            </w:r>
          </w:p>
          <w:p w14:paraId="0B0A779C">
            <w:pPr>
              <w:pStyle w:val="4"/>
              <w:keepNext w:val="0"/>
              <w:keepLines w:val="0"/>
              <w:widowControl/>
              <w:suppressLineNumbers w:val="0"/>
              <w:ind w:left="0" w:firstLine="420"/>
              <w:jc w:val="both"/>
              <w:rPr>
                <w:highlight w:val="none"/>
              </w:rPr>
            </w:pPr>
            <w:r>
              <w:rPr>
                <w:highlight w:val="none"/>
              </w:rPr>
              <w:t>医疗卫生机构应当为临床研究管理配备必要的管理人员和条件保障。</w:t>
            </w:r>
          </w:p>
        </w:tc>
        <w:tc>
          <w:tcPr>
            <w:tcW w:w="2594" w:type="pct"/>
            <w:tcBorders>
              <w:top w:val="nil"/>
              <w:left w:val="nil"/>
              <w:bottom w:val="nil"/>
              <w:right w:val="nil"/>
            </w:tcBorders>
            <w:shd w:val="clear" w:color="auto" w:fill="E1FFC8"/>
            <w:tcMar>
              <w:top w:w="0" w:type="dxa"/>
              <w:left w:w="0" w:type="dxa"/>
              <w:bottom w:w="0" w:type="dxa"/>
              <w:right w:w="0" w:type="dxa"/>
            </w:tcMar>
            <w:vAlign w:val="top"/>
          </w:tcPr>
          <w:p w14:paraId="45F59F00">
            <w:pPr>
              <w:pStyle w:val="4"/>
              <w:keepNext w:val="0"/>
              <w:keepLines w:val="0"/>
              <w:widowControl/>
              <w:suppressLineNumbers w:val="0"/>
              <w:jc w:val="both"/>
              <w:rPr>
                <w:highlight w:val="none"/>
              </w:rPr>
            </w:pPr>
            <w:r>
              <w:rPr>
                <w:highlight w:val="none"/>
              </w:rPr>
              <w:t>第十五条</w:t>
            </w:r>
          </w:p>
          <w:p w14:paraId="4F7EC04F">
            <w:pPr>
              <w:pStyle w:val="4"/>
              <w:keepNext w:val="0"/>
              <w:keepLines w:val="0"/>
              <w:widowControl/>
              <w:suppressLineNumbers w:val="0"/>
              <w:ind w:left="0" w:firstLine="420"/>
              <w:jc w:val="both"/>
              <w:rPr>
                <w:highlight w:val="none"/>
              </w:rPr>
            </w:pPr>
            <w:r>
              <w:rPr>
                <w:highlight w:val="none"/>
              </w:rPr>
              <w:t>开展临床研究的医疗卫生机构应当设有临床研究管理委员会，并明确专门部门(以下称临床研究管理部门)负责临床研究管理。</w:t>
            </w:r>
          </w:p>
          <w:p w14:paraId="136D9451">
            <w:pPr>
              <w:pStyle w:val="4"/>
              <w:keepNext w:val="0"/>
              <w:keepLines w:val="0"/>
              <w:widowControl/>
              <w:suppressLineNumbers w:val="0"/>
              <w:ind w:left="0" w:firstLine="420"/>
              <w:jc w:val="both"/>
              <w:rPr>
                <w:highlight w:val="none"/>
              </w:rPr>
            </w:pPr>
            <w:r>
              <w:rPr>
                <w:highlight w:val="none"/>
              </w:rPr>
              <w:t>医疗卫生机构应当明确临床研究管理人员，配备必要的条件保障。</w:t>
            </w:r>
          </w:p>
        </w:tc>
      </w:tr>
      <w:tr w14:paraId="4BA79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362" w:type="pct"/>
            <w:tcBorders>
              <w:top w:val="nil"/>
              <w:left w:val="nil"/>
              <w:bottom w:val="nil"/>
              <w:right w:val="nil"/>
            </w:tcBorders>
            <w:shd w:val="clear" w:color="auto" w:fill="FAFFC8"/>
            <w:tcMar>
              <w:top w:w="0" w:type="dxa"/>
              <w:left w:w="0" w:type="dxa"/>
              <w:bottom w:w="0" w:type="dxa"/>
              <w:right w:w="0" w:type="dxa"/>
            </w:tcMar>
            <w:vAlign w:val="top"/>
          </w:tcPr>
          <w:p w14:paraId="49D3093E">
            <w:pPr>
              <w:pStyle w:val="4"/>
              <w:keepNext w:val="0"/>
              <w:keepLines w:val="0"/>
              <w:widowControl/>
              <w:suppressLineNumbers w:val="0"/>
              <w:jc w:val="both"/>
              <w:rPr>
                <w:highlight w:val="none"/>
              </w:rPr>
            </w:pPr>
            <w:r>
              <w:rPr>
                <w:rStyle w:val="7"/>
                <w:highlight w:val="none"/>
              </w:rPr>
              <w:t>第十六条</w:t>
            </w:r>
          </w:p>
          <w:p w14:paraId="59428967">
            <w:pPr>
              <w:pStyle w:val="4"/>
              <w:keepNext w:val="0"/>
              <w:keepLines w:val="0"/>
              <w:widowControl/>
              <w:suppressLineNumbers w:val="0"/>
              <w:ind w:left="0" w:firstLine="420"/>
              <w:jc w:val="both"/>
              <w:rPr>
                <w:highlight w:val="none"/>
              </w:rPr>
            </w:pPr>
            <w:r>
              <w:rPr>
                <w:highlight w:val="none"/>
              </w:rPr>
              <w:t>临床研究管理委员会由医疗卫生机构相关负责人、相关职能部门负责人和临床研究专家代表组成，负责医疗卫生机构临床研究的</w:t>
            </w:r>
            <w:r>
              <w:rPr>
                <w:rStyle w:val="7"/>
                <w:color w:val="A65BCB"/>
                <w:highlight w:val="none"/>
              </w:rPr>
              <w:t>决策、审核</w:t>
            </w:r>
            <w:r>
              <w:rPr>
                <w:highlight w:val="none"/>
              </w:rPr>
              <w:t>、管理和监督。</w:t>
            </w:r>
          </w:p>
        </w:tc>
        <w:tc>
          <w:tcPr>
            <w:tcW w:w="2594" w:type="pct"/>
            <w:tcBorders>
              <w:top w:val="nil"/>
              <w:left w:val="nil"/>
              <w:bottom w:val="nil"/>
              <w:right w:val="nil"/>
            </w:tcBorders>
            <w:shd w:val="clear" w:color="auto" w:fill="E1FFC8"/>
            <w:tcMar>
              <w:top w:w="0" w:type="dxa"/>
              <w:left w:w="0" w:type="dxa"/>
              <w:bottom w:w="0" w:type="dxa"/>
              <w:right w:w="0" w:type="dxa"/>
            </w:tcMar>
            <w:vAlign w:val="top"/>
          </w:tcPr>
          <w:p w14:paraId="523BFFE4">
            <w:pPr>
              <w:pStyle w:val="4"/>
              <w:keepNext w:val="0"/>
              <w:keepLines w:val="0"/>
              <w:widowControl/>
              <w:suppressLineNumbers w:val="0"/>
              <w:rPr>
                <w:highlight w:val="none"/>
              </w:rPr>
            </w:pPr>
            <w:r>
              <w:rPr>
                <w:rStyle w:val="7"/>
                <w:highlight w:val="none"/>
              </w:rPr>
              <w:t>第十六条</w:t>
            </w:r>
          </w:p>
          <w:p w14:paraId="55D058F3">
            <w:pPr>
              <w:pStyle w:val="4"/>
              <w:keepNext w:val="0"/>
              <w:keepLines w:val="0"/>
              <w:widowControl/>
              <w:suppressLineNumbers w:val="0"/>
              <w:ind w:left="0" w:firstLine="420"/>
              <w:rPr>
                <w:highlight w:val="none"/>
              </w:rPr>
            </w:pPr>
            <w:r>
              <w:rPr>
                <w:highlight w:val="none"/>
              </w:rPr>
              <w:t>临床研究管理委员会由医疗卫生机构相关负责人、相关职能部门负责人和临床研究专家代表组成，负责医疗卫生机构临床研究的</w:t>
            </w:r>
            <w:r>
              <w:rPr>
                <w:rStyle w:val="7"/>
                <w:color w:val="FF0000"/>
                <w:highlight w:val="none"/>
              </w:rPr>
              <w:t>协调、服务</w:t>
            </w:r>
            <w:r>
              <w:rPr>
                <w:highlight w:val="none"/>
              </w:rPr>
              <w:t>、管理和监督。</w:t>
            </w:r>
          </w:p>
        </w:tc>
      </w:tr>
      <w:tr w14:paraId="1EBF2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362" w:type="pct"/>
            <w:tcBorders>
              <w:top w:val="nil"/>
              <w:left w:val="nil"/>
              <w:bottom w:val="nil"/>
              <w:right w:val="nil"/>
            </w:tcBorders>
            <w:shd w:val="clear" w:color="auto" w:fill="FAFFC8"/>
            <w:tcMar>
              <w:top w:w="0" w:type="dxa"/>
              <w:left w:w="0" w:type="dxa"/>
              <w:bottom w:w="0" w:type="dxa"/>
              <w:right w:w="0" w:type="dxa"/>
            </w:tcMar>
            <w:vAlign w:val="top"/>
          </w:tcPr>
          <w:p w14:paraId="0893115B">
            <w:pPr>
              <w:pStyle w:val="4"/>
              <w:keepNext w:val="0"/>
              <w:keepLines w:val="0"/>
              <w:widowControl/>
              <w:suppressLineNumbers w:val="0"/>
              <w:jc w:val="both"/>
              <w:rPr>
                <w:highlight w:val="none"/>
              </w:rPr>
            </w:pPr>
            <w:r>
              <w:rPr>
                <w:rStyle w:val="7"/>
                <w:highlight w:val="none"/>
              </w:rPr>
              <w:t>第十七条</w:t>
            </w:r>
          </w:p>
          <w:p w14:paraId="4DBD03F3">
            <w:pPr>
              <w:pStyle w:val="4"/>
              <w:keepNext w:val="0"/>
              <w:keepLines w:val="0"/>
              <w:widowControl/>
              <w:suppressLineNumbers w:val="0"/>
              <w:ind w:left="0" w:firstLine="420"/>
              <w:jc w:val="both"/>
              <w:rPr>
                <w:highlight w:val="none"/>
              </w:rPr>
            </w:pPr>
            <w:r>
              <w:rPr>
                <w:highlight w:val="none"/>
              </w:rPr>
              <w:t>临床研究管理部门在临床研究管理委员会指导下，负责临床研究的立项审查、过程管理、质量管理、合同管理、结项管理和档案管理等工作，并协调科学性审查和伦理审查。</w:t>
            </w:r>
          </w:p>
        </w:tc>
        <w:tc>
          <w:tcPr>
            <w:tcW w:w="2594" w:type="pct"/>
            <w:tcBorders>
              <w:top w:val="nil"/>
              <w:left w:val="nil"/>
              <w:bottom w:val="nil"/>
              <w:right w:val="nil"/>
            </w:tcBorders>
            <w:shd w:val="clear" w:color="auto" w:fill="E1FFC8"/>
            <w:tcMar>
              <w:top w:w="0" w:type="dxa"/>
              <w:left w:w="0" w:type="dxa"/>
              <w:bottom w:w="0" w:type="dxa"/>
              <w:right w:w="0" w:type="dxa"/>
            </w:tcMar>
            <w:vAlign w:val="top"/>
          </w:tcPr>
          <w:p w14:paraId="4715F677">
            <w:pPr>
              <w:pStyle w:val="4"/>
              <w:keepNext w:val="0"/>
              <w:keepLines w:val="0"/>
              <w:widowControl/>
              <w:suppressLineNumbers w:val="0"/>
              <w:jc w:val="both"/>
              <w:rPr>
                <w:highlight w:val="none"/>
              </w:rPr>
            </w:pPr>
            <w:r>
              <w:rPr>
                <w:rStyle w:val="7"/>
                <w:highlight w:val="none"/>
              </w:rPr>
              <w:t>第十七条</w:t>
            </w:r>
          </w:p>
          <w:p w14:paraId="2ADBA255">
            <w:pPr>
              <w:pStyle w:val="4"/>
              <w:keepNext w:val="0"/>
              <w:keepLines w:val="0"/>
              <w:widowControl/>
              <w:suppressLineNumbers w:val="0"/>
              <w:ind w:left="0" w:firstLine="420"/>
              <w:jc w:val="both"/>
              <w:rPr>
                <w:highlight w:val="none"/>
              </w:rPr>
            </w:pPr>
            <w:r>
              <w:rPr>
                <w:highlight w:val="none"/>
              </w:rPr>
              <w:t>临床研究管理部门</w:t>
            </w:r>
            <w:r>
              <w:rPr>
                <w:highlight w:val="none"/>
              </w:rPr>
              <w:t>在临床研究管理委员会指导下，负责临床研究的立项审查、过程管理、质量管理、合同管理、结项管理和档案管理等工作，并</w:t>
            </w:r>
            <w:r>
              <w:rPr>
                <w:highlight w:val="none"/>
              </w:rPr>
              <w:t>协调科学性审查和伦理审查</w:t>
            </w:r>
            <w:r>
              <w:rPr>
                <w:highlight w:val="none"/>
              </w:rPr>
              <w:t>。</w:t>
            </w:r>
          </w:p>
        </w:tc>
      </w:tr>
      <w:tr w14:paraId="00AC6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362" w:type="pct"/>
            <w:tcBorders>
              <w:top w:val="nil"/>
              <w:left w:val="nil"/>
              <w:bottom w:val="nil"/>
              <w:right w:val="nil"/>
            </w:tcBorders>
            <w:shd w:val="clear" w:color="auto" w:fill="FAFFC8"/>
            <w:tcMar>
              <w:top w:w="0" w:type="dxa"/>
              <w:left w:w="0" w:type="dxa"/>
              <w:bottom w:w="0" w:type="dxa"/>
              <w:right w:w="0" w:type="dxa"/>
            </w:tcMar>
            <w:vAlign w:val="top"/>
          </w:tcPr>
          <w:p w14:paraId="36719747">
            <w:pPr>
              <w:pStyle w:val="4"/>
              <w:keepNext w:val="0"/>
              <w:keepLines w:val="0"/>
              <w:widowControl/>
              <w:suppressLineNumbers w:val="0"/>
              <w:jc w:val="both"/>
              <w:rPr>
                <w:highlight w:val="none"/>
              </w:rPr>
            </w:pPr>
            <w:r>
              <w:rPr>
                <w:rStyle w:val="7"/>
                <w:highlight w:val="none"/>
              </w:rPr>
              <w:t>第十八条</w:t>
            </w:r>
          </w:p>
          <w:p w14:paraId="23514618">
            <w:pPr>
              <w:pStyle w:val="4"/>
              <w:keepNext w:val="0"/>
              <w:keepLines w:val="0"/>
              <w:widowControl/>
              <w:suppressLineNumbers w:val="0"/>
              <w:ind w:left="0" w:firstLine="420"/>
              <w:jc w:val="both"/>
              <w:rPr>
                <w:highlight w:val="none"/>
              </w:rPr>
            </w:pPr>
            <w:r>
              <w:rPr>
                <w:highlight w:val="none"/>
              </w:rPr>
              <w:t>医疗卫生机构应当制定临床研究科学性审查管理制度、细则和工作程序， 组织开展科学性审查。</w:t>
            </w:r>
          </w:p>
        </w:tc>
        <w:tc>
          <w:tcPr>
            <w:tcW w:w="2594" w:type="pct"/>
            <w:tcBorders>
              <w:top w:val="nil"/>
              <w:left w:val="nil"/>
              <w:bottom w:val="nil"/>
              <w:right w:val="nil"/>
            </w:tcBorders>
            <w:shd w:val="clear" w:color="auto" w:fill="E1FFC8"/>
            <w:tcMar>
              <w:top w:w="0" w:type="dxa"/>
              <w:left w:w="0" w:type="dxa"/>
              <w:bottom w:w="0" w:type="dxa"/>
              <w:right w:w="0" w:type="dxa"/>
            </w:tcMar>
            <w:vAlign w:val="top"/>
          </w:tcPr>
          <w:p w14:paraId="1551F1A4">
            <w:pPr>
              <w:pStyle w:val="4"/>
              <w:keepNext w:val="0"/>
              <w:keepLines w:val="0"/>
              <w:widowControl/>
              <w:suppressLineNumbers w:val="0"/>
              <w:jc w:val="both"/>
              <w:rPr>
                <w:highlight w:val="none"/>
              </w:rPr>
            </w:pPr>
            <w:r>
              <w:rPr>
                <w:rStyle w:val="7"/>
                <w:highlight w:val="none"/>
              </w:rPr>
              <w:t>第十八条</w:t>
            </w:r>
          </w:p>
          <w:p w14:paraId="3907F5A8">
            <w:pPr>
              <w:pStyle w:val="4"/>
              <w:keepNext w:val="0"/>
              <w:keepLines w:val="0"/>
              <w:widowControl/>
              <w:suppressLineNumbers w:val="0"/>
              <w:ind w:left="0" w:firstLine="420"/>
              <w:jc w:val="both"/>
              <w:rPr>
                <w:highlight w:val="none"/>
              </w:rPr>
            </w:pPr>
            <w:r>
              <w:rPr>
                <w:highlight w:val="none"/>
              </w:rPr>
              <w:t>医疗卫生机构应当制定临床研究科学性审查管理制度、细则和工作程序，</w:t>
            </w:r>
            <w:r>
              <w:rPr>
                <w:rStyle w:val="7"/>
                <w:color w:val="FF0000"/>
                <w:highlight w:val="none"/>
              </w:rPr>
              <w:t>对干预性临床研究</w:t>
            </w:r>
            <w:r>
              <w:rPr>
                <w:highlight w:val="none"/>
              </w:rPr>
              <w:t>组织开展科学性审查。</w:t>
            </w:r>
          </w:p>
        </w:tc>
      </w:tr>
      <w:tr w14:paraId="6660B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362" w:type="pct"/>
            <w:tcBorders>
              <w:top w:val="nil"/>
              <w:left w:val="nil"/>
              <w:bottom w:val="nil"/>
              <w:right w:val="nil"/>
            </w:tcBorders>
            <w:shd w:val="clear" w:color="auto" w:fill="FAFFC8"/>
            <w:tcMar>
              <w:top w:w="0" w:type="dxa"/>
              <w:left w:w="0" w:type="dxa"/>
              <w:bottom w:w="0" w:type="dxa"/>
              <w:right w:w="0" w:type="dxa"/>
            </w:tcMar>
            <w:vAlign w:val="top"/>
          </w:tcPr>
          <w:p w14:paraId="1576981F">
            <w:pPr>
              <w:pStyle w:val="4"/>
              <w:keepNext w:val="0"/>
              <w:keepLines w:val="0"/>
              <w:widowControl/>
              <w:suppressLineNumbers w:val="0"/>
              <w:jc w:val="both"/>
              <w:rPr>
                <w:highlight w:val="none"/>
              </w:rPr>
            </w:pPr>
            <w:r>
              <w:rPr>
                <w:rStyle w:val="7"/>
                <w:highlight w:val="none"/>
              </w:rPr>
              <w:t>第十九条</w:t>
            </w:r>
          </w:p>
          <w:p w14:paraId="78B3B480">
            <w:pPr>
              <w:pStyle w:val="4"/>
              <w:keepNext w:val="0"/>
              <w:keepLines w:val="0"/>
              <w:widowControl/>
              <w:suppressLineNumbers w:val="0"/>
              <w:ind w:left="0" w:firstLine="420"/>
              <w:jc w:val="both"/>
              <w:rPr>
                <w:highlight w:val="none"/>
              </w:rPr>
            </w:pPr>
            <w:r>
              <w:rPr>
                <w:highlight w:val="none"/>
              </w:rPr>
              <w:t>医疗卫生机构应当按照《涉及人的生物医学研究伦理审查办法》要求， 建立医疗卫生机构伦理（审查）委员会，健全工作制度，提供工作条件，保障伦理（审查）委员会独立开展伦理审查。</w:t>
            </w:r>
          </w:p>
        </w:tc>
        <w:tc>
          <w:tcPr>
            <w:tcW w:w="2594" w:type="pct"/>
            <w:tcBorders>
              <w:top w:val="nil"/>
              <w:left w:val="nil"/>
              <w:bottom w:val="nil"/>
              <w:right w:val="nil"/>
            </w:tcBorders>
            <w:shd w:val="clear" w:color="auto" w:fill="E1FFC8"/>
            <w:tcMar>
              <w:top w:w="0" w:type="dxa"/>
              <w:left w:w="0" w:type="dxa"/>
              <w:bottom w:w="0" w:type="dxa"/>
              <w:right w:w="0" w:type="dxa"/>
            </w:tcMar>
            <w:vAlign w:val="top"/>
          </w:tcPr>
          <w:p w14:paraId="699ECA56">
            <w:pPr>
              <w:pStyle w:val="4"/>
              <w:keepNext w:val="0"/>
              <w:keepLines w:val="0"/>
              <w:widowControl/>
              <w:suppressLineNumbers w:val="0"/>
              <w:jc w:val="both"/>
              <w:rPr>
                <w:highlight w:val="none"/>
              </w:rPr>
            </w:pPr>
            <w:r>
              <w:rPr>
                <w:rStyle w:val="7"/>
                <w:highlight w:val="none"/>
              </w:rPr>
              <w:t>第十九条</w:t>
            </w:r>
          </w:p>
          <w:p w14:paraId="3D9FE771">
            <w:pPr>
              <w:pStyle w:val="4"/>
              <w:keepNext w:val="0"/>
              <w:keepLines w:val="0"/>
              <w:widowControl/>
              <w:suppressLineNumbers w:val="0"/>
              <w:ind w:left="0" w:firstLine="420"/>
              <w:jc w:val="both"/>
              <w:rPr>
                <w:highlight w:val="none"/>
              </w:rPr>
            </w:pPr>
            <w:r>
              <w:rPr>
                <w:highlight w:val="none"/>
              </w:rPr>
              <w:t>医疗卫生机构应当按照《涉及人的生物医学研究伦理审查办法》</w:t>
            </w:r>
            <w:r>
              <w:rPr>
                <w:rStyle w:val="7"/>
                <w:color w:val="FF0000"/>
                <w:highlight w:val="none"/>
              </w:rPr>
              <w:t>《涉及人的生命科学和医学研究伦理审查办法》</w:t>
            </w:r>
            <w:r>
              <w:rPr>
                <w:highlight w:val="none"/>
              </w:rPr>
              <w:t>要求，建立医疗卫生机构伦理(审查)委员会，健全工作制度，提供工作条件，保障伦理(审查)委员会独立开展伦理审查。</w:t>
            </w:r>
          </w:p>
        </w:tc>
      </w:tr>
      <w:tr w14:paraId="21C9A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362" w:type="pct"/>
            <w:tcBorders>
              <w:top w:val="nil"/>
              <w:left w:val="nil"/>
              <w:bottom w:val="nil"/>
              <w:right w:val="nil"/>
            </w:tcBorders>
            <w:shd w:val="clear" w:color="auto" w:fill="FAFFC8"/>
            <w:tcMar>
              <w:top w:w="0" w:type="dxa"/>
              <w:left w:w="0" w:type="dxa"/>
              <w:bottom w:w="0" w:type="dxa"/>
              <w:right w:w="0" w:type="dxa"/>
            </w:tcMar>
            <w:vAlign w:val="top"/>
          </w:tcPr>
          <w:p w14:paraId="0F05482F">
            <w:pPr>
              <w:pStyle w:val="4"/>
              <w:keepNext w:val="0"/>
              <w:keepLines w:val="0"/>
              <w:widowControl/>
              <w:suppressLineNumbers w:val="0"/>
              <w:rPr>
                <w:highlight w:val="none"/>
              </w:rPr>
            </w:pPr>
            <w:r>
              <w:rPr>
                <w:rStyle w:val="7"/>
                <w:highlight w:val="none"/>
              </w:rPr>
              <w:t>第四章  立项管理</w:t>
            </w:r>
          </w:p>
        </w:tc>
        <w:tc>
          <w:tcPr>
            <w:tcW w:w="2594" w:type="pct"/>
            <w:tcBorders>
              <w:top w:val="nil"/>
              <w:left w:val="nil"/>
              <w:bottom w:val="nil"/>
              <w:right w:val="nil"/>
            </w:tcBorders>
            <w:shd w:val="clear" w:color="auto" w:fill="E1FFC8"/>
            <w:tcMar>
              <w:top w:w="0" w:type="dxa"/>
              <w:left w:w="0" w:type="dxa"/>
              <w:bottom w:w="0" w:type="dxa"/>
              <w:right w:w="0" w:type="dxa"/>
            </w:tcMar>
            <w:vAlign w:val="top"/>
          </w:tcPr>
          <w:p w14:paraId="24F5AD62">
            <w:pPr>
              <w:pStyle w:val="4"/>
              <w:keepNext w:val="0"/>
              <w:keepLines w:val="0"/>
              <w:widowControl/>
              <w:suppressLineNumbers w:val="0"/>
              <w:rPr>
                <w:highlight w:val="none"/>
              </w:rPr>
            </w:pPr>
            <w:r>
              <w:rPr>
                <w:rStyle w:val="7"/>
                <w:highlight w:val="none"/>
              </w:rPr>
              <w:t>第四章  立项管理</w:t>
            </w:r>
          </w:p>
        </w:tc>
      </w:tr>
      <w:tr w14:paraId="748D1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362" w:type="pct"/>
            <w:tcBorders>
              <w:top w:val="nil"/>
              <w:left w:val="nil"/>
              <w:bottom w:val="nil"/>
              <w:right w:val="nil"/>
            </w:tcBorders>
            <w:shd w:val="clear" w:color="auto" w:fill="FAFFC8"/>
            <w:tcMar>
              <w:top w:w="0" w:type="dxa"/>
              <w:left w:w="0" w:type="dxa"/>
              <w:bottom w:w="0" w:type="dxa"/>
              <w:right w:w="0" w:type="dxa"/>
            </w:tcMar>
            <w:vAlign w:val="top"/>
          </w:tcPr>
          <w:p w14:paraId="26086298">
            <w:pPr>
              <w:pStyle w:val="4"/>
              <w:keepNext w:val="0"/>
              <w:keepLines w:val="0"/>
              <w:widowControl/>
              <w:suppressLineNumbers w:val="0"/>
              <w:jc w:val="both"/>
              <w:rPr>
                <w:highlight w:val="none"/>
              </w:rPr>
            </w:pPr>
            <w:r>
              <w:rPr>
                <w:rStyle w:val="7"/>
                <w:highlight w:val="none"/>
              </w:rPr>
              <w:t>第二十条</w:t>
            </w:r>
          </w:p>
          <w:p w14:paraId="4C91362B">
            <w:pPr>
              <w:pStyle w:val="4"/>
              <w:keepNext w:val="0"/>
              <w:keepLines w:val="0"/>
              <w:widowControl/>
              <w:suppressLineNumbers w:val="0"/>
              <w:ind w:left="0" w:firstLine="420"/>
              <w:jc w:val="both"/>
              <w:rPr>
                <w:highlight w:val="none"/>
              </w:rPr>
            </w:pPr>
            <w:r>
              <w:rPr>
                <w:highlight w:val="none"/>
              </w:rPr>
              <w:t>临床研究实行医疗卫生机构立项制度，未经医疗卫生机构批准立项的临床研究不得实施。</w:t>
            </w:r>
          </w:p>
          <w:p w14:paraId="40A5B27A">
            <w:pPr>
              <w:pStyle w:val="4"/>
              <w:keepNext w:val="0"/>
              <w:keepLines w:val="0"/>
              <w:widowControl/>
              <w:suppressLineNumbers w:val="0"/>
              <w:ind w:left="0" w:firstLine="420"/>
              <w:jc w:val="both"/>
              <w:rPr>
                <w:highlight w:val="none"/>
              </w:rPr>
            </w:pPr>
            <w:r>
              <w:rPr>
                <w:highlight w:val="none"/>
              </w:rPr>
              <w:t>根据法律法规等要求，临床研究涉及行政审批、备案、</w:t>
            </w:r>
            <w:r>
              <w:rPr>
                <w:rStyle w:val="7"/>
                <w:color w:val="A65BCB"/>
                <w:highlight w:val="none"/>
              </w:rPr>
              <w:t>登记、注册</w:t>
            </w:r>
            <w:r>
              <w:rPr>
                <w:highlight w:val="none"/>
              </w:rPr>
              <w:t>等事项的，</w:t>
            </w:r>
            <w:r>
              <w:rPr>
                <w:rStyle w:val="7"/>
                <w:color w:val="A65BCB"/>
                <w:highlight w:val="none"/>
              </w:rPr>
              <w:t>在未按要求完成上述事项之前，</w:t>
            </w:r>
            <w:r>
              <w:rPr>
                <w:highlight w:val="none"/>
              </w:rPr>
              <w:t>医疗卫生机构不得批准研究者</w:t>
            </w:r>
            <w:r>
              <w:rPr>
                <w:rStyle w:val="7"/>
                <w:color w:val="A65BCB"/>
                <w:highlight w:val="none"/>
              </w:rPr>
              <w:t>启动实施</w:t>
            </w:r>
            <w:r>
              <w:rPr>
                <w:highlight w:val="none"/>
              </w:rPr>
              <w:t>临床研究。</w:t>
            </w:r>
          </w:p>
        </w:tc>
        <w:tc>
          <w:tcPr>
            <w:tcW w:w="2594" w:type="pct"/>
            <w:tcBorders>
              <w:top w:val="nil"/>
              <w:left w:val="nil"/>
              <w:bottom w:val="nil"/>
              <w:right w:val="nil"/>
            </w:tcBorders>
            <w:shd w:val="clear" w:color="auto" w:fill="E1FFC8"/>
            <w:tcMar>
              <w:top w:w="0" w:type="dxa"/>
              <w:left w:w="0" w:type="dxa"/>
              <w:bottom w:w="0" w:type="dxa"/>
              <w:right w:w="0" w:type="dxa"/>
            </w:tcMar>
            <w:vAlign w:val="top"/>
          </w:tcPr>
          <w:p w14:paraId="2ACEC4C5">
            <w:pPr>
              <w:pStyle w:val="4"/>
              <w:keepNext w:val="0"/>
              <w:keepLines w:val="0"/>
              <w:widowControl/>
              <w:suppressLineNumbers w:val="0"/>
              <w:jc w:val="both"/>
              <w:rPr>
                <w:highlight w:val="none"/>
              </w:rPr>
            </w:pPr>
            <w:r>
              <w:rPr>
                <w:rStyle w:val="7"/>
                <w:highlight w:val="none"/>
              </w:rPr>
              <w:t>第二十条</w:t>
            </w:r>
          </w:p>
          <w:p w14:paraId="2DA1301E">
            <w:pPr>
              <w:pStyle w:val="4"/>
              <w:keepNext w:val="0"/>
              <w:keepLines w:val="0"/>
              <w:widowControl/>
              <w:suppressLineNumbers w:val="0"/>
              <w:ind w:left="0" w:firstLine="420"/>
              <w:jc w:val="both"/>
              <w:rPr>
                <w:highlight w:val="none"/>
              </w:rPr>
            </w:pPr>
            <w:r>
              <w:rPr>
                <w:highlight w:val="none"/>
              </w:rPr>
              <w:t>临床研究</w:t>
            </w:r>
            <w:r>
              <w:rPr>
                <w:highlight w:val="none"/>
              </w:rPr>
              <w:t>实行医疗卫生机构立项制度</w:t>
            </w:r>
            <w:r>
              <w:rPr>
                <w:highlight w:val="none"/>
              </w:rPr>
              <w:t>，未经医疗卫生机构批准立项的临床研究不得实施。</w:t>
            </w:r>
          </w:p>
          <w:p w14:paraId="3C5C3B9A">
            <w:pPr>
              <w:pStyle w:val="4"/>
              <w:keepNext w:val="0"/>
              <w:keepLines w:val="0"/>
              <w:widowControl/>
              <w:suppressLineNumbers w:val="0"/>
              <w:ind w:left="0" w:firstLine="420"/>
              <w:jc w:val="both"/>
              <w:rPr>
                <w:highlight w:val="none"/>
              </w:rPr>
            </w:pPr>
            <w:r>
              <w:rPr>
                <w:highlight w:val="none"/>
              </w:rPr>
              <w:t>根据法律法规要求，</w:t>
            </w:r>
            <w:r>
              <w:rPr>
                <w:highlight w:val="none"/>
              </w:rPr>
              <w:t>临床研究涉及行政审批、备案</w:t>
            </w:r>
            <w:r>
              <w:rPr>
                <w:highlight w:val="none"/>
              </w:rPr>
              <w:t>等</w:t>
            </w:r>
            <w:r>
              <w:rPr>
                <w:highlight w:val="none"/>
              </w:rPr>
              <w:t>法定事项</w:t>
            </w:r>
            <w:r>
              <w:rPr>
                <w:rStyle w:val="7"/>
                <w:color w:val="FF0000"/>
                <w:highlight w:val="none"/>
              </w:rPr>
              <w:t>但未依法办理的，</w:t>
            </w:r>
            <w:r>
              <w:rPr>
                <w:highlight w:val="none"/>
              </w:rPr>
              <w:t>医疗卫生机构不得批准研究者</w:t>
            </w:r>
            <w:r>
              <w:rPr>
                <w:rStyle w:val="7"/>
                <w:color w:val="FF0000"/>
                <w:highlight w:val="none"/>
              </w:rPr>
              <w:t>开展</w:t>
            </w:r>
            <w:r>
              <w:rPr>
                <w:highlight w:val="none"/>
              </w:rPr>
              <w:t>临床研究。</w:t>
            </w:r>
          </w:p>
        </w:tc>
      </w:tr>
      <w:tr w14:paraId="2736F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362" w:type="pct"/>
            <w:tcBorders>
              <w:top w:val="nil"/>
              <w:left w:val="nil"/>
              <w:bottom w:val="nil"/>
              <w:right w:val="nil"/>
            </w:tcBorders>
            <w:shd w:val="clear" w:color="auto" w:fill="FAFFC8"/>
            <w:tcMar>
              <w:top w:w="0" w:type="dxa"/>
              <w:left w:w="0" w:type="dxa"/>
              <w:bottom w:w="0" w:type="dxa"/>
              <w:right w:w="0" w:type="dxa"/>
            </w:tcMar>
            <w:vAlign w:val="top"/>
          </w:tcPr>
          <w:p w14:paraId="346CA054">
            <w:pPr>
              <w:pStyle w:val="4"/>
              <w:keepNext w:val="0"/>
              <w:keepLines w:val="0"/>
              <w:widowControl/>
              <w:suppressLineNumbers w:val="0"/>
              <w:jc w:val="both"/>
              <w:rPr>
                <w:highlight w:val="none"/>
              </w:rPr>
            </w:pPr>
            <w:r>
              <w:rPr>
                <w:rStyle w:val="7"/>
                <w:highlight w:val="none"/>
              </w:rPr>
              <w:t>第二十一条</w:t>
            </w:r>
          </w:p>
          <w:p w14:paraId="48FF4678">
            <w:pPr>
              <w:pStyle w:val="4"/>
              <w:keepNext w:val="0"/>
              <w:keepLines w:val="0"/>
              <w:widowControl/>
              <w:suppressLineNumbers w:val="0"/>
              <w:ind w:left="0" w:firstLine="420"/>
              <w:jc w:val="both"/>
              <w:rPr>
                <w:highlight w:val="none"/>
              </w:rPr>
            </w:pPr>
            <w:r>
              <w:rPr>
                <w:highlight w:val="none"/>
              </w:rPr>
              <w:t>主要研究者应当制定临床研究方案，并按照要求向医疗卫生机构临床研究管理部门提交临床研究方案和相关资料，接受全程管理。</w:t>
            </w:r>
          </w:p>
        </w:tc>
        <w:tc>
          <w:tcPr>
            <w:tcW w:w="2594" w:type="pct"/>
            <w:tcBorders>
              <w:top w:val="nil"/>
              <w:left w:val="nil"/>
              <w:bottom w:val="nil"/>
              <w:right w:val="nil"/>
            </w:tcBorders>
            <w:shd w:val="clear" w:color="auto" w:fill="E1FFC8"/>
            <w:tcMar>
              <w:top w:w="0" w:type="dxa"/>
              <w:left w:w="0" w:type="dxa"/>
              <w:bottom w:w="0" w:type="dxa"/>
              <w:right w:w="0" w:type="dxa"/>
            </w:tcMar>
            <w:vAlign w:val="top"/>
          </w:tcPr>
          <w:p w14:paraId="0F76E172">
            <w:pPr>
              <w:pStyle w:val="4"/>
              <w:keepNext w:val="0"/>
              <w:keepLines w:val="0"/>
              <w:widowControl/>
              <w:suppressLineNumbers w:val="0"/>
              <w:jc w:val="both"/>
              <w:rPr>
                <w:highlight w:val="none"/>
              </w:rPr>
            </w:pPr>
            <w:r>
              <w:rPr>
                <w:rStyle w:val="7"/>
                <w:highlight w:val="none"/>
              </w:rPr>
              <w:t>第二十一条</w:t>
            </w:r>
          </w:p>
          <w:p w14:paraId="7D5CB8C6">
            <w:pPr>
              <w:pStyle w:val="4"/>
              <w:keepNext w:val="0"/>
              <w:keepLines w:val="0"/>
              <w:widowControl/>
              <w:suppressLineNumbers w:val="0"/>
              <w:ind w:left="0" w:firstLine="420"/>
              <w:jc w:val="both"/>
              <w:rPr>
                <w:highlight w:val="none"/>
              </w:rPr>
            </w:pPr>
            <w:r>
              <w:rPr>
                <w:highlight w:val="none"/>
              </w:rPr>
              <w:t>主要研究者应当制定临床研究方案，并按照要求向医疗卫生机构临床研究管理部门提交临床研究方案和相关资料，接受全程管理。</w:t>
            </w:r>
          </w:p>
        </w:tc>
      </w:tr>
      <w:tr w14:paraId="33F03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362" w:type="pct"/>
            <w:tcBorders>
              <w:top w:val="nil"/>
              <w:left w:val="nil"/>
              <w:bottom w:val="nil"/>
              <w:right w:val="nil"/>
            </w:tcBorders>
            <w:shd w:val="clear" w:color="auto" w:fill="FAFFC8"/>
            <w:tcMar>
              <w:top w:w="0" w:type="dxa"/>
              <w:left w:w="0" w:type="dxa"/>
              <w:bottom w:w="0" w:type="dxa"/>
              <w:right w:w="0" w:type="dxa"/>
            </w:tcMar>
            <w:vAlign w:val="top"/>
          </w:tcPr>
          <w:p w14:paraId="658851BC">
            <w:pPr>
              <w:pStyle w:val="4"/>
              <w:keepNext w:val="0"/>
              <w:keepLines w:val="0"/>
              <w:widowControl/>
              <w:suppressLineNumbers w:val="0"/>
              <w:jc w:val="both"/>
              <w:rPr>
                <w:highlight w:val="none"/>
              </w:rPr>
            </w:pPr>
            <w:r>
              <w:rPr>
                <w:rStyle w:val="7"/>
                <w:highlight w:val="none"/>
              </w:rPr>
              <w:t>第二十二条</w:t>
            </w:r>
          </w:p>
          <w:p w14:paraId="6B9A1A4A">
            <w:pPr>
              <w:pStyle w:val="4"/>
              <w:keepNext w:val="0"/>
              <w:keepLines w:val="0"/>
              <w:widowControl/>
              <w:suppressLineNumbers w:val="0"/>
              <w:ind w:left="0" w:firstLine="420"/>
              <w:jc w:val="both"/>
              <w:rPr>
                <w:highlight w:val="none"/>
              </w:rPr>
            </w:pPr>
            <w:r>
              <w:rPr>
                <w:highlight w:val="none"/>
              </w:rPr>
              <w:t>医疗卫生机构应当按照科学性审查制度、细则和工作程序， 独立开展科学性审查。</w:t>
            </w:r>
          </w:p>
          <w:p w14:paraId="39848246">
            <w:pPr>
              <w:pStyle w:val="4"/>
              <w:keepNext w:val="0"/>
              <w:keepLines w:val="0"/>
              <w:widowControl/>
              <w:suppressLineNumbers w:val="0"/>
              <w:ind w:left="0" w:firstLine="420"/>
              <w:jc w:val="both"/>
              <w:rPr>
                <w:highlight w:val="none"/>
              </w:rPr>
            </w:pPr>
            <w:r>
              <w:rPr>
                <w:highlight w:val="none"/>
              </w:rPr>
              <w:t>科学性审查的内容应当包括研究的合理性、必要性、可行性，以及研究目的、干预措施、研究假设、研究方法、样本量、研究终点、研究安全性等。</w:t>
            </w:r>
          </w:p>
          <w:p w14:paraId="2AF44BF3">
            <w:pPr>
              <w:pStyle w:val="4"/>
              <w:keepNext w:val="0"/>
              <w:keepLines w:val="0"/>
              <w:widowControl/>
              <w:suppressLineNumbers w:val="0"/>
              <w:ind w:left="0" w:firstLine="420"/>
              <w:jc w:val="both"/>
              <w:rPr>
                <w:highlight w:val="none"/>
              </w:rPr>
            </w:pPr>
            <w:r>
              <w:rPr>
                <w:highlight w:val="none"/>
              </w:rPr>
              <w:t>科学性审查的专家应覆盖临床研究所属专业领域和研究方法学领域。干预性研究的科学性审查一般</w:t>
            </w:r>
            <w:r>
              <w:rPr>
                <w:rStyle w:val="7"/>
                <w:color w:val="A65BCB"/>
                <w:highlight w:val="none"/>
              </w:rPr>
              <w:t>应邀请</w:t>
            </w:r>
            <w:r>
              <w:rPr>
                <w:highlight w:val="none"/>
              </w:rPr>
              <w:t>本机构外专家参加。</w:t>
            </w:r>
          </w:p>
        </w:tc>
        <w:tc>
          <w:tcPr>
            <w:tcW w:w="2594" w:type="pct"/>
            <w:tcBorders>
              <w:top w:val="nil"/>
              <w:left w:val="nil"/>
              <w:bottom w:val="nil"/>
              <w:right w:val="nil"/>
            </w:tcBorders>
            <w:shd w:val="clear" w:color="auto" w:fill="E1FFC8"/>
            <w:tcMar>
              <w:top w:w="0" w:type="dxa"/>
              <w:left w:w="0" w:type="dxa"/>
              <w:bottom w:w="0" w:type="dxa"/>
              <w:right w:w="0" w:type="dxa"/>
            </w:tcMar>
            <w:vAlign w:val="top"/>
          </w:tcPr>
          <w:p w14:paraId="3AC7109D">
            <w:pPr>
              <w:pStyle w:val="4"/>
              <w:keepNext w:val="0"/>
              <w:keepLines w:val="0"/>
              <w:widowControl/>
              <w:suppressLineNumbers w:val="0"/>
              <w:jc w:val="both"/>
              <w:rPr>
                <w:highlight w:val="none"/>
              </w:rPr>
            </w:pPr>
            <w:r>
              <w:rPr>
                <w:rStyle w:val="7"/>
                <w:highlight w:val="none"/>
              </w:rPr>
              <w:t>第二十二条</w:t>
            </w:r>
          </w:p>
          <w:p w14:paraId="75EEA746">
            <w:pPr>
              <w:pStyle w:val="4"/>
              <w:keepNext w:val="0"/>
              <w:keepLines w:val="0"/>
              <w:widowControl/>
              <w:suppressLineNumbers w:val="0"/>
              <w:ind w:left="0" w:firstLine="420"/>
              <w:jc w:val="both"/>
              <w:rPr>
                <w:highlight w:val="none"/>
              </w:rPr>
            </w:pPr>
            <w:r>
              <w:rPr>
                <w:highlight w:val="none"/>
              </w:rPr>
              <w:t>医疗卫生机构应当按照科学性审查制度、细则和工作程序，独立开展科学性审查。</w:t>
            </w:r>
          </w:p>
          <w:p w14:paraId="5D4AFE29">
            <w:pPr>
              <w:pStyle w:val="4"/>
              <w:keepNext w:val="0"/>
              <w:keepLines w:val="0"/>
              <w:widowControl/>
              <w:suppressLineNumbers w:val="0"/>
              <w:ind w:left="0" w:firstLine="420"/>
              <w:jc w:val="both"/>
              <w:rPr>
                <w:highlight w:val="none"/>
              </w:rPr>
            </w:pPr>
            <w:r>
              <w:rPr>
                <w:highlight w:val="none"/>
              </w:rPr>
              <w:t>科学性审查的内容应当包括研究的合理性、必要性、可行性，以及研究目的、研究假设、研究方法、干预措施、研究终点、研究安全性、样本量等。</w:t>
            </w:r>
          </w:p>
          <w:p w14:paraId="7726F149">
            <w:pPr>
              <w:pStyle w:val="4"/>
              <w:keepNext w:val="0"/>
              <w:keepLines w:val="0"/>
              <w:widowControl/>
              <w:suppressLineNumbers w:val="0"/>
              <w:ind w:left="0" w:firstLine="420"/>
              <w:jc w:val="both"/>
              <w:rPr>
                <w:highlight w:val="none"/>
              </w:rPr>
            </w:pPr>
            <w:r>
              <w:rPr>
                <w:highlight w:val="none"/>
              </w:rPr>
              <w:t>科学性审查的专家应覆盖临床研究所属专业领域和研究方法学领域。干预性研究的科学性审查一般</w:t>
            </w:r>
            <w:r>
              <w:rPr>
                <w:rStyle w:val="7"/>
                <w:color w:val="FF0000"/>
                <w:highlight w:val="none"/>
              </w:rPr>
              <w:t>应当有</w:t>
            </w:r>
            <w:r>
              <w:rPr>
                <w:highlight w:val="none"/>
              </w:rPr>
              <w:t>医疗卫生机构外专家</w:t>
            </w:r>
            <w:r>
              <w:rPr>
                <w:highlight w:val="none"/>
              </w:rPr>
              <w:t>参加。</w:t>
            </w:r>
          </w:p>
        </w:tc>
      </w:tr>
      <w:tr w14:paraId="7CB49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362" w:type="pct"/>
            <w:tcBorders>
              <w:top w:val="nil"/>
              <w:left w:val="nil"/>
              <w:bottom w:val="nil"/>
              <w:right w:val="nil"/>
            </w:tcBorders>
            <w:shd w:val="clear" w:color="auto" w:fill="FAFFC8"/>
            <w:tcMar>
              <w:top w:w="0" w:type="dxa"/>
              <w:left w:w="0" w:type="dxa"/>
              <w:bottom w:w="0" w:type="dxa"/>
              <w:right w:w="0" w:type="dxa"/>
            </w:tcMar>
            <w:vAlign w:val="top"/>
          </w:tcPr>
          <w:p w14:paraId="3A29E79C">
            <w:pPr>
              <w:pStyle w:val="4"/>
              <w:keepNext w:val="0"/>
              <w:keepLines w:val="0"/>
              <w:widowControl/>
              <w:suppressLineNumbers w:val="0"/>
              <w:jc w:val="both"/>
              <w:rPr>
                <w:highlight w:val="none"/>
              </w:rPr>
            </w:pPr>
            <w:r>
              <w:rPr>
                <w:rStyle w:val="7"/>
                <w:highlight w:val="none"/>
              </w:rPr>
              <w:t>第二十三条</w:t>
            </w:r>
          </w:p>
          <w:p w14:paraId="78C4F591">
            <w:pPr>
              <w:pStyle w:val="4"/>
              <w:keepNext w:val="0"/>
              <w:keepLines w:val="0"/>
              <w:widowControl/>
              <w:suppressLineNumbers w:val="0"/>
              <w:ind w:left="0" w:firstLine="420"/>
              <w:jc w:val="both"/>
              <w:rPr>
                <w:highlight w:val="none"/>
              </w:rPr>
            </w:pPr>
            <w:r>
              <w:rPr>
                <w:highlight w:val="none"/>
              </w:rPr>
              <w:t>医疗卫生机构伦理（审查）委员会按照工作制度，对临床研究独立开展伦理审查，确保临床研究符合伦理规范。</w:t>
            </w:r>
          </w:p>
        </w:tc>
        <w:tc>
          <w:tcPr>
            <w:tcW w:w="2594" w:type="pct"/>
            <w:tcBorders>
              <w:top w:val="nil"/>
              <w:left w:val="nil"/>
              <w:bottom w:val="nil"/>
              <w:right w:val="nil"/>
            </w:tcBorders>
            <w:shd w:val="clear" w:color="auto" w:fill="E1FFC8"/>
            <w:tcMar>
              <w:top w:w="0" w:type="dxa"/>
              <w:left w:w="0" w:type="dxa"/>
              <w:bottom w:w="0" w:type="dxa"/>
              <w:right w:w="0" w:type="dxa"/>
            </w:tcMar>
            <w:vAlign w:val="top"/>
          </w:tcPr>
          <w:p w14:paraId="009C88E4">
            <w:pPr>
              <w:pStyle w:val="4"/>
              <w:keepNext w:val="0"/>
              <w:keepLines w:val="0"/>
              <w:widowControl/>
              <w:suppressLineNumbers w:val="0"/>
              <w:jc w:val="both"/>
              <w:rPr>
                <w:highlight w:val="none"/>
              </w:rPr>
            </w:pPr>
            <w:r>
              <w:rPr>
                <w:rStyle w:val="7"/>
                <w:highlight w:val="none"/>
              </w:rPr>
              <w:t>第二十三条</w:t>
            </w:r>
          </w:p>
          <w:p w14:paraId="7916B3CE">
            <w:pPr>
              <w:pStyle w:val="4"/>
              <w:keepNext w:val="0"/>
              <w:keepLines w:val="0"/>
              <w:widowControl/>
              <w:suppressLineNumbers w:val="0"/>
              <w:ind w:left="0" w:firstLine="420"/>
              <w:jc w:val="both"/>
              <w:rPr>
                <w:highlight w:val="none"/>
              </w:rPr>
            </w:pPr>
            <w:r>
              <w:rPr>
                <w:highlight w:val="none"/>
              </w:rPr>
              <w:t>医疗卫生机构伦理（审查）委员会按照工作制度，对临床研究独立</w:t>
            </w:r>
            <w:r>
              <w:rPr>
                <w:highlight w:val="none"/>
              </w:rPr>
              <w:t>开展伦理审查</w:t>
            </w:r>
            <w:r>
              <w:rPr>
                <w:highlight w:val="none"/>
              </w:rPr>
              <w:t>，确保临床研究符合伦理规范。</w:t>
            </w:r>
          </w:p>
        </w:tc>
      </w:tr>
      <w:tr w14:paraId="23BCD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362" w:type="pct"/>
            <w:tcBorders>
              <w:top w:val="nil"/>
              <w:left w:val="nil"/>
              <w:bottom w:val="nil"/>
              <w:right w:val="nil"/>
            </w:tcBorders>
            <w:shd w:val="clear" w:color="auto" w:fill="FAFFC8"/>
            <w:tcMar>
              <w:top w:w="0" w:type="dxa"/>
              <w:left w:w="0" w:type="dxa"/>
              <w:bottom w:w="0" w:type="dxa"/>
              <w:right w:w="0" w:type="dxa"/>
            </w:tcMar>
            <w:vAlign w:val="top"/>
          </w:tcPr>
          <w:p w14:paraId="0C576479">
            <w:pPr>
              <w:pStyle w:val="4"/>
              <w:keepNext w:val="0"/>
              <w:keepLines w:val="0"/>
              <w:widowControl/>
              <w:suppressLineNumbers w:val="0"/>
              <w:jc w:val="both"/>
              <w:rPr>
                <w:highlight w:val="none"/>
              </w:rPr>
            </w:pPr>
            <w:r>
              <w:rPr>
                <w:rStyle w:val="7"/>
                <w:highlight w:val="none"/>
              </w:rPr>
              <w:t>第二十四条</w:t>
            </w:r>
          </w:p>
          <w:p w14:paraId="062A7872">
            <w:pPr>
              <w:pStyle w:val="4"/>
              <w:keepNext w:val="0"/>
              <w:keepLines w:val="0"/>
              <w:widowControl/>
              <w:suppressLineNumbers w:val="0"/>
              <w:ind w:left="0" w:firstLine="420"/>
              <w:jc w:val="both"/>
              <w:rPr>
                <w:highlight w:val="none"/>
              </w:rPr>
            </w:pPr>
            <w:r>
              <w:rPr>
                <w:highlight w:val="none"/>
              </w:rPr>
              <w:t>临床研究管理部门应当对提交的材料进行审核。有以下情形之一的，不予立项：</w:t>
            </w:r>
          </w:p>
          <w:p w14:paraId="29974B46">
            <w:pPr>
              <w:pStyle w:val="4"/>
              <w:keepNext w:val="0"/>
              <w:keepLines w:val="0"/>
              <w:widowControl/>
              <w:suppressLineNumbers w:val="0"/>
              <w:ind w:left="0" w:firstLine="420"/>
              <w:jc w:val="both"/>
              <w:rPr>
                <w:highlight w:val="none"/>
              </w:rPr>
            </w:pPr>
            <w:r>
              <w:rPr>
                <w:highlight w:val="none"/>
              </w:rPr>
              <w:t>（一）不符合法律、法规、规章及规范性文件要求的；</w:t>
            </w:r>
          </w:p>
          <w:p w14:paraId="32AC9158">
            <w:pPr>
              <w:pStyle w:val="4"/>
              <w:keepNext w:val="0"/>
              <w:keepLines w:val="0"/>
              <w:widowControl/>
              <w:suppressLineNumbers w:val="0"/>
              <w:ind w:left="0" w:firstLine="420"/>
              <w:jc w:val="both"/>
              <w:rPr>
                <w:highlight w:val="none"/>
              </w:rPr>
            </w:pPr>
            <w:r>
              <w:rPr>
                <w:highlight w:val="none"/>
              </w:rPr>
              <w:t>（二）未通过科学性审查和伦理审查的；</w:t>
            </w:r>
          </w:p>
          <w:p w14:paraId="65BC4E86">
            <w:pPr>
              <w:pStyle w:val="4"/>
              <w:keepNext w:val="0"/>
              <w:keepLines w:val="0"/>
              <w:widowControl/>
              <w:suppressLineNumbers w:val="0"/>
              <w:ind w:left="0" w:firstLine="420"/>
              <w:jc w:val="both"/>
              <w:rPr>
                <w:highlight w:val="none"/>
              </w:rPr>
            </w:pPr>
            <w:r>
              <w:rPr>
                <w:highlight w:val="none"/>
              </w:rPr>
              <w:t>（三）违背科研诚信规范的；</w:t>
            </w:r>
          </w:p>
          <w:p w14:paraId="36BC7BE4">
            <w:pPr>
              <w:pStyle w:val="4"/>
              <w:keepNext w:val="0"/>
              <w:keepLines w:val="0"/>
              <w:widowControl/>
              <w:suppressLineNumbers w:val="0"/>
              <w:ind w:left="0" w:firstLine="420"/>
              <w:jc w:val="both"/>
              <w:rPr>
                <w:highlight w:val="none"/>
              </w:rPr>
            </w:pPr>
            <w:r>
              <w:rPr>
                <w:highlight w:val="none"/>
              </w:rPr>
              <w:t>（四）研究前期准备不足，临床研究时机尚不成熟的；</w:t>
            </w:r>
          </w:p>
          <w:p w14:paraId="20690126">
            <w:pPr>
              <w:pStyle w:val="4"/>
              <w:keepNext w:val="0"/>
              <w:keepLines w:val="0"/>
              <w:widowControl/>
              <w:suppressLineNumbers w:val="0"/>
              <w:ind w:left="0" w:firstLine="420"/>
              <w:jc w:val="both"/>
              <w:rPr>
                <w:highlight w:val="none"/>
              </w:rPr>
            </w:pPr>
            <w:r>
              <w:rPr>
                <w:highlight w:val="none"/>
              </w:rPr>
              <w:t>（五）临床研究经费不足以完成临床研究的；</w:t>
            </w:r>
          </w:p>
          <w:p w14:paraId="286E0DD3">
            <w:pPr>
              <w:pStyle w:val="4"/>
              <w:keepNext w:val="0"/>
              <w:keepLines w:val="0"/>
              <w:widowControl/>
              <w:suppressLineNumbers w:val="0"/>
              <w:ind w:left="0" w:firstLine="420"/>
              <w:jc w:val="both"/>
              <w:rPr>
                <w:highlight w:val="none"/>
              </w:rPr>
            </w:pPr>
            <w:r>
              <w:rPr>
                <w:highlight w:val="none"/>
              </w:rPr>
              <w:t>（六）药品、医疗器械等产品不符合使用规范的；</w:t>
            </w:r>
          </w:p>
          <w:p w14:paraId="104F5CDF">
            <w:pPr>
              <w:pStyle w:val="4"/>
              <w:keepNext w:val="0"/>
              <w:keepLines w:val="0"/>
              <w:widowControl/>
              <w:suppressLineNumbers w:val="0"/>
              <w:ind w:left="0" w:firstLine="420"/>
              <w:jc w:val="both"/>
              <w:rPr>
                <w:highlight w:val="none"/>
              </w:rPr>
            </w:pPr>
            <w:r>
              <w:rPr>
                <w:highlight w:val="none"/>
              </w:rPr>
              <w:t>（七）临床研究的安全风险超出实施医疗卫生机构和研究者可控范围的；</w:t>
            </w:r>
          </w:p>
          <w:p w14:paraId="64A8437D">
            <w:pPr>
              <w:pStyle w:val="4"/>
              <w:keepNext w:val="0"/>
              <w:keepLines w:val="0"/>
              <w:widowControl/>
              <w:suppressLineNumbers w:val="0"/>
              <w:ind w:left="0" w:firstLine="420"/>
              <w:jc w:val="both"/>
              <w:rPr>
                <w:highlight w:val="none"/>
              </w:rPr>
            </w:pPr>
            <w:r>
              <w:rPr>
                <w:highlight w:val="none"/>
              </w:rPr>
              <w:t>（八）可能存在商业贿赂或其他不当利益关系的。</w:t>
            </w:r>
          </w:p>
          <w:p w14:paraId="04F306E3">
            <w:pPr>
              <w:pStyle w:val="4"/>
              <w:keepNext w:val="0"/>
              <w:keepLines w:val="0"/>
              <w:widowControl/>
              <w:suppressLineNumbers w:val="0"/>
              <w:ind w:left="0" w:firstLine="420"/>
              <w:jc w:val="both"/>
              <w:rPr>
                <w:highlight w:val="none"/>
              </w:rPr>
            </w:pPr>
            <w:r>
              <w:rPr>
                <w:highlight w:val="none"/>
              </w:rPr>
              <w:t>研究者应当签署利益冲突声明并与研究方案等一并提交医疗卫生机构审查，</w:t>
            </w:r>
            <w:r>
              <w:rPr>
                <w:rStyle w:val="7"/>
                <w:color w:val="A65BCB"/>
                <w:highlight w:val="none"/>
              </w:rPr>
              <w:t>在发表研究结果时应当如实披露。</w:t>
            </w:r>
          </w:p>
        </w:tc>
        <w:tc>
          <w:tcPr>
            <w:tcW w:w="2594" w:type="pct"/>
            <w:tcBorders>
              <w:top w:val="nil"/>
              <w:left w:val="nil"/>
              <w:bottom w:val="nil"/>
              <w:right w:val="nil"/>
            </w:tcBorders>
            <w:shd w:val="clear" w:color="auto" w:fill="E1FFC8"/>
            <w:tcMar>
              <w:top w:w="0" w:type="dxa"/>
              <w:left w:w="0" w:type="dxa"/>
              <w:bottom w:w="0" w:type="dxa"/>
              <w:right w:w="0" w:type="dxa"/>
            </w:tcMar>
            <w:vAlign w:val="top"/>
          </w:tcPr>
          <w:p w14:paraId="55152DDC">
            <w:pPr>
              <w:pStyle w:val="4"/>
              <w:keepNext w:val="0"/>
              <w:keepLines w:val="0"/>
              <w:widowControl/>
              <w:suppressLineNumbers w:val="0"/>
              <w:jc w:val="both"/>
              <w:rPr>
                <w:highlight w:val="none"/>
              </w:rPr>
            </w:pPr>
            <w:r>
              <w:rPr>
                <w:rStyle w:val="7"/>
                <w:highlight w:val="none"/>
              </w:rPr>
              <w:t>第二十四条</w:t>
            </w:r>
          </w:p>
          <w:p w14:paraId="5D342A1A">
            <w:pPr>
              <w:pStyle w:val="4"/>
              <w:keepNext w:val="0"/>
              <w:keepLines w:val="0"/>
              <w:widowControl/>
              <w:suppressLineNumbers w:val="0"/>
              <w:ind w:left="0" w:firstLine="420"/>
              <w:jc w:val="both"/>
              <w:rPr>
                <w:highlight w:val="none"/>
              </w:rPr>
            </w:pPr>
            <w:r>
              <w:rPr>
                <w:highlight w:val="none"/>
              </w:rPr>
              <w:t>临床研究管理部门应当对提交的材料进行审核。有以下情形之一的，不予立项：</w:t>
            </w:r>
          </w:p>
          <w:p w14:paraId="68E96084">
            <w:pPr>
              <w:pStyle w:val="4"/>
              <w:keepNext w:val="0"/>
              <w:keepLines w:val="0"/>
              <w:widowControl/>
              <w:suppressLineNumbers w:val="0"/>
              <w:ind w:left="0" w:firstLine="420"/>
              <w:jc w:val="both"/>
              <w:rPr>
                <w:highlight w:val="none"/>
              </w:rPr>
            </w:pPr>
            <w:r>
              <w:rPr>
                <w:highlight w:val="none"/>
              </w:rPr>
              <w:t>(一)不符合法律、法规、规章及规范性文件要求的；</w:t>
            </w:r>
          </w:p>
          <w:p w14:paraId="06FB8729">
            <w:pPr>
              <w:pStyle w:val="4"/>
              <w:keepNext w:val="0"/>
              <w:keepLines w:val="0"/>
              <w:widowControl/>
              <w:suppressLineNumbers w:val="0"/>
              <w:ind w:left="0" w:firstLine="420"/>
              <w:jc w:val="both"/>
              <w:rPr>
                <w:highlight w:val="none"/>
              </w:rPr>
            </w:pPr>
            <w:r>
              <w:rPr>
                <w:highlight w:val="none"/>
              </w:rPr>
              <w:t>(二)</w:t>
            </w:r>
            <w:r>
              <w:rPr>
                <w:rStyle w:val="7"/>
                <w:color w:val="FF0000"/>
                <w:highlight w:val="none"/>
              </w:rPr>
              <w:t>干预性研究</w:t>
            </w:r>
            <w:r>
              <w:rPr>
                <w:highlight w:val="none"/>
              </w:rPr>
              <w:t>未通过科学性审查的；</w:t>
            </w:r>
          </w:p>
          <w:p w14:paraId="51C640A8">
            <w:pPr>
              <w:pStyle w:val="4"/>
              <w:keepNext w:val="0"/>
              <w:keepLines w:val="0"/>
              <w:widowControl/>
              <w:suppressLineNumbers w:val="0"/>
              <w:ind w:left="0" w:firstLine="420"/>
              <w:jc w:val="both"/>
              <w:rPr>
                <w:highlight w:val="none"/>
              </w:rPr>
            </w:pPr>
            <w:r>
              <w:rPr>
                <w:highlight w:val="none"/>
              </w:rPr>
              <w:t>(三)</w:t>
            </w:r>
            <w:r>
              <w:rPr>
                <w:rStyle w:val="7"/>
                <w:color w:val="FF0000"/>
                <w:highlight w:val="none"/>
              </w:rPr>
              <w:t>伦理审查不符合要求的；</w:t>
            </w:r>
          </w:p>
          <w:p w14:paraId="6BEEBFBA">
            <w:pPr>
              <w:pStyle w:val="4"/>
              <w:keepNext w:val="0"/>
              <w:keepLines w:val="0"/>
              <w:widowControl/>
              <w:suppressLineNumbers w:val="0"/>
              <w:ind w:left="0" w:firstLine="420"/>
              <w:jc w:val="both"/>
              <w:rPr>
                <w:highlight w:val="none"/>
              </w:rPr>
            </w:pPr>
            <w:r>
              <w:rPr>
                <w:highlight w:val="none"/>
              </w:rPr>
              <w:t>(四)违背科研诚信规范的；</w:t>
            </w:r>
          </w:p>
          <w:p w14:paraId="0CD313F6">
            <w:pPr>
              <w:pStyle w:val="4"/>
              <w:keepNext w:val="0"/>
              <w:keepLines w:val="0"/>
              <w:widowControl/>
              <w:suppressLineNumbers w:val="0"/>
              <w:ind w:left="0" w:firstLine="420"/>
              <w:jc w:val="both"/>
              <w:rPr>
                <w:highlight w:val="none"/>
              </w:rPr>
            </w:pPr>
            <w:r>
              <w:rPr>
                <w:highlight w:val="none"/>
              </w:rPr>
              <w:t>(五)研究前期准备不足，临床研究时机尚不成熟的；</w:t>
            </w:r>
          </w:p>
          <w:p w14:paraId="4B1E88DD">
            <w:pPr>
              <w:pStyle w:val="4"/>
              <w:keepNext w:val="0"/>
              <w:keepLines w:val="0"/>
              <w:widowControl/>
              <w:suppressLineNumbers w:val="0"/>
              <w:ind w:left="0" w:firstLine="420"/>
              <w:jc w:val="both"/>
              <w:rPr>
                <w:highlight w:val="none"/>
              </w:rPr>
            </w:pPr>
            <w:r>
              <w:rPr>
                <w:highlight w:val="none"/>
              </w:rPr>
              <w:t>(六)临床研究经费不足以完成临床研究的；</w:t>
            </w:r>
          </w:p>
          <w:p w14:paraId="6783FA58">
            <w:pPr>
              <w:pStyle w:val="4"/>
              <w:keepNext w:val="0"/>
              <w:keepLines w:val="0"/>
              <w:widowControl/>
              <w:suppressLineNumbers w:val="0"/>
              <w:ind w:left="0" w:firstLine="420"/>
              <w:jc w:val="both"/>
              <w:rPr>
                <w:highlight w:val="none"/>
              </w:rPr>
            </w:pPr>
            <w:r>
              <w:rPr>
                <w:highlight w:val="none"/>
              </w:rPr>
              <w:t>(七)药品、器械等产品不符合使用规范的；</w:t>
            </w:r>
          </w:p>
          <w:p w14:paraId="73C941D3">
            <w:pPr>
              <w:pStyle w:val="4"/>
              <w:keepNext w:val="0"/>
              <w:keepLines w:val="0"/>
              <w:widowControl/>
              <w:suppressLineNumbers w:val="0"/>
              <w:ind w:left="0" w:firstLine="420"/>
              <w:jc w:val="both"/>
              <w:rPr>
                <w:highlight w:val="none"/>
              </w:rPr>
            </w:pPr>
            <w:r>
              <w:rPr>
                <w:highlight w:val="none"/>
              </w:rPr>
              <w:t>(八)临床研究的安全风险超出实施医疗卫生机构和研究者可控范围的；</w:t>
            </w:r>
          </w:p>
          <w:p w14:paraId="0466B6AB">
            <w:pPr>
              <w:pStyle w:val="4"/>
              <w:keepNext w:val="0"/>
              <w:keepLines w:val="0"/>
              <w:widowControl/>
              <w:suppressLineNumbers w:val="0"/>
              <w:ind w:left="0" w:firstLine="420"/>
              <w:jc w:val="both"/>
              <w:rPr>
                <w:highlight w:val="none"/>
              </w:rPr>
            </w:pPr>
            <w:r>
              <w:rPr>
                <w:highlight w:val="none"/>
              </w:rPr>
              <w:t>(九)可能存在商业贿赂或其他不当利益关系的。</w:t>
            </w:r>
          </w:p>
          <w:p w14:paraId="331F922C">
            <w:pPr>
              <w:pStyle w:val="4"/>
              <w:keepNext w:val="0"/>
              <w:keepLines w:val="0"/>
              <w:widowControl/>
              <w:suppressLineNumbers w:val="0"/>
              <w:ind w:left="0" w:firstLine="420"/>
              <w:jc w:val="both"/>
              <w:rPr>
                <w:highlight w:val="none"/>
              </w:rPr>
            </w:pPr>
            <w:r>
              <w:rPr>
                <w:highlight w:val="none"/>
              </w:rPr>
              <w:t>研究者应当签署利益冲突声明并与研究方案等一并提交医疗卫生机构审查。</w:t>
            </w:r>
          </w:p>
        </w:tc>
      </w:tr>
      <w:tr w14:paraId="5A855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362" w:type="pct"/>
            <w:tcBorders>
              <w:top w:val="nil"/>
              <w:left w:val="nil"/>
              <w:bottom w:val="nil"/>
              <w:right w:val="nil"/>
            </w:tcBorders>
            <w:shd w:val="clear" w:color="auto" w:fill="FAFFC8"/>
            <w:tcMar>
              <w:top w:w="0" w:type="dxa"/>
              <w:left w:w="0" w:type="dxa"/>
              <w:bottom w:w="0" w:type="dxa"/>
              <w:right w:w="0" w:type="dxa"/>
            </w:tcMar>
            <w:vAlign w:val="top"/>
          </w:tcPr>
          <w:p w14:paraId="66C807D5">
            <w:pPr>
              <w:pStyle w:val="4"/>
              <w:keepNext w:val="0"/>
              <w:keepLines w:val="0"/>
              <w:widowControl/>
              <w:suppressLineNumbers w:val="0"/>
              <w:jc w:val="both"/>
              <w:rPr>
                <w:highlight w:val="none"/>
              </w:rPr>
            </w:pPr>
            <w:r>
              <w:rPr>
                <w:rStyle w:val="7"/>
                <w:highlight w:val="none"/>
              </w:rPr>
              <w:t>第二十五条</w:t>
            </w:r>
          </w:p>
          <w:p w14:paraId="715A29AE">
            <w:pPr>
              <w:pStyle w:val="4"/>
              <w:keepNext w:val="0"/>
              <w:keepLines w:val="0"/>
              <w:widowControl/>
              <w:suppressLineNumbers w:val="0"/>
              <w:ind w:left="0" w:firstLine="420"/>
              <w:jc w:val="both"/>
              <w:rPr>
                <w:highlight w:val="none"/>
              </w:rPr>
            </w:pPr>
            <w:r>
              <w:rPr>
                <w:highlight w:val="none"/>
              </w:rPr>
              <w:t>医疗卫生机构受其他机构委托、资助开展临床研究或者参与多中心临床研究的，应当与委托、资助机构或多中心临床研究牵头机构签订临床研究协议，明确双方权利、义务及责任分担等。</w:t>
            </w:r>
          </w:p>
          <w:p w14:paraId="0916B1F2">
            <w:pPr>
              <w:pStyle w:val="4"/>
              <w:keepNext w:val="0"/>
              <w:keepLines w:val="0"/>
              <w:widowControl/>
              <w:suppressLineNumbers w:val="0"/>
              <w:ind w:left="0" w:firstLine="420"/>
              <w:jc w:val="both"/>
              <w:rPr>
                <w:highlight w:val="none"/>
              </w:rPr>
            </w:pPr>
            <w:r>
              <w:rPr>
                <w:highlight w:val="none"/>
              </w:rPr>
              <w:t>牵头机构对临床研究负主体责任，参与机构对本机构参与的临床研究内容负责。</w:t>
            </w:r>
          </w:p>
          <w:p w14:paraId="2D9A2032">
            <w:pPr>
              <w:pStyle w:val="4"/>
              <w:keepNext w:val="0"/>
              <w:keepLines w:val="0"/>
              <w:widowControl/>
              <w:suppressLineNumbers w:val="0"/>
              <w:ind w:left="0" w:firstLine="420"/>
              <w:jc w:val="both"/>
              <w:rPr>
                <w:highlight w:val="none"/>
              </w:rPr>
            </w:pPr>
            <w:r>
              <w:rPr>
                <w:highlight w:val="none"/>
              </w:rPr>
              <w:t>参与机构应当根据自身情况对多中心研究中是否采用牵头机构科学性审查、伦理审查意见进行规定。</w:t>
            </w:r>
          </w:p>
        </w:tc>
        <w:tc>
          <w:tcPr>
            <w:tcW w:w="2594" w:type="pct"/>
            <w:tcBorders>
              <w:top w:val="nil"/>
              <w:left w:val="nil"/>
              <w:bottom w:val="nil"/>
              <w:right w:val="nil"/>
            </w:tcBorders>
            <w:shd w:val="clear" w:color="auto" w:fill="E1FFC8"/>
            <w:tcMar>
              <w:top w:w="0" w:type="dxa"/>
              <w:left w:w="0" w:type="dxa"/>
              <w:bottom w:w="0" w:type="dxa"/>
              <w:right w:w="0" w:type="dxa"/>
            </w:tcMar>
            <w:vAlign w:val="top"/>
          </w:tcPr>
          <w:p w14:paraId="07061819">
            <w:pPr>
              <w:pStyle w:val="4"/>
              <w:keepNext w:val="0"/>
              <w:keepLines w:val="0"/>
              <w:widowControl/>
              <w:suppressLineNumbers w:val="0"/>
              <w:jc w:val="both"/>
              <w:rPr>
                <w:highlight w:val="none"/>
              </w:rPr>
            </w:pPr>
            <w:r>
              <w:rPr>
                <w:rStyle w:val="7"/>
                <w:highlight w:val="none"/>
              </w:rPr>
              <w:t>第二十五条</w:t>
            </w:r>
          </w:p>
          <w:p w14:paraId="54DC8F2D">
            <w:pPr>
              <w:pStyle w:val="4"/>
              <w:keepNext w:val="0"/>
              <w:keepLines w:val="0"/>
              <w:widowControl/>
              <w:suppressLineNumbers w:val="0"/>
              <w:ind w:left="0" w:firstLine="420"/>
              <w:jc w:val="both"/>
              <w:rPr>
                <w:highlight w:val="none"/>
              </w:rPr>
            </w:pPr>
            <w:r>
              <w:rPr>
                <w:highlight w:val="none"/>
              </w:rPr>
              <w:t>医疗卫生机构受其他机构委托、资助开展临床研究或者参与多中心临床研究的，应当与委托、资助机构或多中心临床研究牵头机构签订临床研究协议，明确各方权利、义务及责任分担等。</w:t>
            </w:r>
          </w:p>
          <w:p w14:paraId="0918886C">
            <w:pPr>
              <w:pStyle w:val="4"/>
              <w:keepNext w:val="0"/>
              <w:keepLines w:val="0"/>
              <w:widowControl/>
              <w:suppressLineNumbers w:val="0"/>
              <w:ind w:left="0" w:firstLine="420"/>
              <w:jc w:val="both"/>
              <w:rPr>
                <w:highlight w:val="none"/>
              </w:rPr>
            </w:pPr>
            <w:r>
              <w:rPr>
                <w:highlight w:val="none"/>
              </w:rPr>
              <w:t>牵头机构对临床研究负主体责任，参与机构对本机构参与的临床研究内容负责。</w:t>
            </w:r>
          </w:p>
          <w:p w14:paraId="1C9A048B">
            <w:pPr>
              <w:pStyle w:val="4"/>
              <w:keepNext w:val="0"/>
              <w:keepLines w:val="0"/>
              <w:widowControl/>
              <w:suppressLineNumbers w:val="0"/>
              <w:ind w:left="0" w:firstLine="420"/>
              <w:jc w:val="both"/>
              <w:rPr>
                <w:highlight w:val="none"/>
              </w:rPr>
            </w:pPr>
            <w:r>
              <w:rPr>
                <w:highlight w:val="none"/>
              </w:rPr>
              <w:t>情况对多中心研究中是否采用牵头机构科学性审查、伦理审查意见进行规定。</w:t>
            </w:r>
          </w:p>
        </w:tc>
      </w:tr>
      <w:tr w14:paraId="7C668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362" w:type="pct"/>
            <w:tcBorders>
              <w:top w:val="nil"/>
              <w:left w:val="nil"/>
              <w:bottom w:val="nil"/>
              <w:right w:val="nil"/>
            </w:tcBorders>
            <w:shd w:val="clear" w:color="auto" w:fill="FAFFC8"/>
            <w:tcMar>
              <w:top w:w="0" w:type="dxa"/>
              <w:left w:w="0" w:type="dxa"/>
              <w:bottom w:w="0" w:type="dxa"/>
              <w:right w:w="0" w:type="dxa"/>
            </w:tcMar>
            <w:vAlign w:val="top"/>
          </w:tcPr>
          <w:p w14:paraId="72E65D2A">
            <w:pPr>
              <w:pStyle w:val="4"/>
              <w:keepNext w:val="0"/>
              <w:keepLines w:val="0"/>
              <w:widowControl/>
              <w:suppressLineNumbers w:val="0"/>
              <w:jc w:val="both"/>
              <w:rPr>
                <w:highlight w:val="none"/>
              </w:rPr>
            </w:pPr>
            <w:r>
              <w:rPr>
                <w:rStyle w:val="7"/>
                <w:highlight w:val="none"/>
              </w:rPr>
              <w:t>第二十六条</w:t>
            </w:r>
          </w:p>
          <w:p w14:paraId="206F860A">
            <w:pPr>
              <w:pStyle w:val="4"/>
              <w:keepNext w:val="0"/>
              <w:keepLines w:val="0"/>
              <w:widowControl/>
              <w:suppressLineNumbers w:val="0"/>
              <w:ind w:left="0" w:firstLine="420"/>
              <w:jc w:val="both"/>
              <w:rPr>
                <w:highlight w:val="none"/>
              </w:rPr>
            </w:pPr>
            <w:r>
              <w:rPr>
                <w:highlight w:val="none"/>
              </w:rPr>
              <w:t>在医疗卫生机构立项审核通过时，临床研究的有关信息应当在国家医学研究登记备案信息系统（以下简称系统）按要求完成上传。鼓励医疗卫生机构和研究者在临床研究提出、科学性审查、伦理审查、立项审核等环节， 实时在系统上传临床研究有关信息。</w:t>
            </w:r>
          </w:p>
          <w:p w14:paraId="6639F54D">
            <w:pPr>
              <w:pStyle w:val="4"/>
              <w:keepNext w:val="0"/>
              <w:keepLines w:val="0"/>
              <w:widowControl/>
              <w:suppressLineNumbers w:val="0"/>
              <w:ind w:left="0" w:firstLine="420"/>
              <w:jc w:val="both"/>
              <w:rPr>
                <w:highlight w:val="none"/>
              </w:rPr>
            </w:pPr>
            <w:r>
              <w:rPr>
                <w:highlight w:val="none"/>
              </w:rPr>
              <w:t>研究者应当如实、准确、完整填写临床研究信息，临床研究管理部门、伦理（审查）委员会等应当分别在系统填写并上传科学性审查、伦理审查和医疗卫生机构立项审核意见。</w:t>
            </w:r>
          </w:p>
          <w:p w14:paraId="436F35CB">
            <w:pPr>
              <w:pStyle w:val="4"/>
              <w:keepNext w:val="0"/>
              <w:keepLines w:val="0"/>
              <w:widowControl/>
              <w:suppressLineNumbers w:val="0"/>
              <w:ind w:left="0" w:firstLine="420"/>
              <w:jc w:val="both"/>
              <w:rPr>
                <w:highlight w:val="none"/>
              </w:rPr>
            </w:pPr>
            <w:r>
              <w:rPr>
                <w:highlight w:val="none"/>
              </w:rPr>
              <w:t>医疗卫生机构应当对临床研究信息的真实性、准确性、完整性等进行审核，并对相关内容负责，医疗卫生机构审核后完成信息上传。</w:t>
            </w:r>
          </w:p>
          <w:p w14:paraId="3413E53E">
            <w:pPr>
              <w:pStyle w:val="4"/>
              <w:keepNext w:val="0"/>
              <w:keepLines w:val="0"/>
              <w:widowControl/>
              <w:suppressLineNumbers w:val="0"/>
              <w:ind w:left="0" w:firstLine="420"/>
              <w:jc w:val="both"/>
              <w:rPr>
                <w:highlight w:val="none"/>
              </w:rPr>
            </w:pPr>
            <w:r>
              <w:rPr>
                <w:highlight w:val="none"/>
              </w:rPr>
              <w:t>在系统填写临床研究信息，应当使用规范汉字，涉及专业术语的应当符合学术规范。完成信息上传的临床研究由系统统一编号。</w:t>
            </w:r>
          </w:p>
        </w:tc>
        <w:tc>
          <w:tcPr>
            <w:tcW w:w="2594" w:type="pct"/>
            <w:tcBorders>
              <w:top w:val="nil"/>
              <w:left w:val="nil"/>
              <w:bottom w:val="nil"/>
              <w:right w:val="nil"/>
            </w:tcBorders>
            <w:shd w:val="clear" w:color="auto" w:fill="E1FFC8"/>
            <w:tcMar>
              <w:top w:w="0" w:type="dxa"/>
              <w:left w:w="0" w:type="dxa"/>
              <w:bottom w:w="0" w:type="dxa"/>
              <w:right w:w="0" w:type="dxa"/>
            </w:tcMar>
            <w:vAlign w:val="top"/>
          </w:tcPr>
          <w:p w14:paraId="0DA21787">
            <w:pPr>
              <w:pStyle w:val="4"/>
              <w:keepNext w:val="0"/>
              <w:keepLines w:val="0"/>
              <w:widowControl/>
              <w:suppressLineNumbers w:val="0"/>
              <w:jc w:val="both"/>
              <w:rPr>
                <w:highlight w:val="none"/>
              </w:rPr>
            </w:pPr>
            <w:r>
              <w:rPr>
                <w:rStyle w:val="7"/>
                <w:highlight w:val="none"/>
              </w:rPr>
              <w:t>第二十六条</w:t>
            </w:r>
          </w:p>
          <w:p w14:paraId="6B6E6B92">
            <w:pPr>
              <w:pStyle w:val="4"/>
              <w:keepNext w:val="0"/>
              <w:keepLines w:val="0"/>
              <w:widowControl/>
              <w:suppressLineNumbers w:val="0"/>
              <w:ind w:left="0" w:firstLine="420"/>
              <w:jc w:val="both"/>
              <w:rPr>
                <w:highlight w:val="none"/>
              </w:rPr>
            </w:pPr>
            <w:r>
              <w:rPr>
                <w:highlight w:val="none"/>
              </w:rPr>
              <w:t>在医疗卫生机构立项审核通过时，临床研究的有关信息</w:t>
            </w:r>
            <w:r>
              <w:rPr>
                <w:highlight w:val="none"/>
              </w:rPr>
              <w:t>应当在国家医学研究登记备案信息系统</w:t>
            </w:r>
            <w:r>
              <w:rPr>
                <w:highlight w:val="none"/>
              </w:rPr>
              <w:t>(以下简称系统)</w:t>
            </w:r>
            <w:r>
              <w:rPr>
                <w:highlight w:val="none"/>
              </w:rPr>
              <w:t>按要求完成上传</w:t>
            </w:r>
            <w:r>
              <w:rPr>
                <w:highlight w:val="none"/>
              </w:rPr>
              <w:t>。鼓励医疗卫生机构和研究者在临床研究提出、科学性审查、伦理审查、立项审核等环节，实时在系统上传临床研究有关信息。 </w:t>
            </w:r>
          </w:p>
          <w:p w14:paraId="3CECD3EA">
            <w:pPr>
              <w:pStyle w:val="4"/>
              <w:keepNext w:val="0"/>
              <w:keepLines w:val="0"/>
              <w:widowControl/>
              <w:suppressLineNumbers w:val="0"/>
              <w:ind w:left="0" w:firstLine="420"/>
              <w:jc w:val="both"/>
              <w:rPr>
                <w:highlight w:val="none"/>
              </w:rPr>
            </w:pPr>
            <w:r>
              <w:rPr>
                <w:highlight w:val="none"/>
              </w:rPr>
              <w:t>研究者应当如实、准确、完整填写临床研究信息，临床研究管理部门、伦理(审查)委员会等应当分别在系统填写并上传科学性审查、伦理审查和医疗卫生机构立项审核意见。</w:t>
            </w:r>
          </w:p>
          <w:p w14:paraId="05A3402D">
            <w:pPr>
              <w:pStyle w:val="4"/>
              <w:keepNext w:val="0"/>
              <w:keepLines w:val="0"/>
              <w:widowControl/>
              <w:suppressLineNumbers w:val="0"/>
              <w:ind w:left="0" w:firstLine="420"/>
              <w:jc w:val="both"/>
              <w:rPr>
                <w:highlight w:val="none"/>
              </w:rPr>
            </w:pPr>
            <w:r>
              <w:rPr>
                <w:highlight w:val="none"/>
              </w:rPr>
              <w:t>医疗卫生机构应当对临床研究信息的真实性、准确性、完整性等进行审核，并对相关内容负责，医疗卫生机构审核后完成信息上传。</w:t>
            </w:r>
          </w:p>
          <w:p w14:paraId="4A8B130A">
            <w:pPr>
              <w:pStyle w:val="4"/>
              <w:keepNext w:val="0"/>
              <w:keepLines w:val="0"/>
              <w:widowControl/>
              <w:suppressLineNumbers w:val="0"/>
              <w:ind w:left="0" w:firstLine="420"/>
              <w:jc w:val="both"/>
              <w:rPr>
                <w:highlight w:val="none"/>
              </w:rPr>
            </w:pPr>
            <w:r>
              <w:rPr>
                <w:highlight w:val="none"/>
              </w:rPr>
              <w:t>在系统填写临床研究信息，应当使用规范汉字，涉及专业术语的应当符合学术规范。完成信息上传的临床研究由系统统一编号。</w:t>
            </w:r>
            <w:r>
              <w:rPr>
                <w:rStyle w:val="7"/>
                <w:color w:val="FF0000"/>
                <w:highlight w:val="none"/>
              </w:rPr>
              <w:t>在临床研究结果总结、结项报告、论文发表时应当注明系统统一编号。</w:t>
            </w:r>
          </w:p>
        </w:tc>
      </w:tr>
      <w:tr w14:paraId="7D040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362" w:type="pct"/>
            <w:tcBorders>
              <w:top w:val="nil"/>
              <w:left w:val="nil"/>
              <w:bottom w:val="nil"/>
              <w:right w:val="nil"/>
            </w:tcBorders>
            <w:shd w:val="clear" w:color="auto" w:fill="FAFFC8"/>
            <w:tcMar>
              <w:top w:w="0" w:type="dxa"/>
              <w:left w:w="0" w:type="dxa"/>
              <w:bottom w:w="0" w:type="dxa"/>
              <w:right w:w="0" w:type="dxa"/>
            </w:tcMar>
            <w:vAlign w:val="top"/>
          </w:tcPr>
          <w:p w14:paraId="47853207">
            <w:pPr>
              <w:pStyle w:val="4"/>
              <w:keepNext w:val="0"/>
              <w:keepLines w:val="0"/>
              <w:widowControl/>
              <w:suppressLineNumbers w:val="0"/>
              <w:jc w:val="both"/>
              <w:rPr>
                <w:highlight w:val="none"/>
              </w:rPr>
            </w:pPr>
            <w:r>
              <w:rPr>
                <w:rStyle w:val="7"/>
                <w:highlight w:val="none"/>
              </w:rPr>
              <w:t>第二十七条</w:t>
            </w:r>
          </w:p>
          <w:p w14:paraId="36722B0F">
            <w:pPr>
              <w:pStyle w:val="4"/>
              <w:keepNext w:val="0"/>
              <w:keepLines w:val="0"/>
              <w:widowControl/>
              <w:suppressLineNumbers w:val="0"/>
              <w:ind w:left="0" w:firstLine="420"/>
              <w:jc w:val="both"/>
              <w:rPr>
                <w:highlight w:val="none"/>
              </w:rPr>
            </w:pPr>
            <w:r>
              <w:rPr>
                <w:highlight w:val="none"/>
              </w:rPr>
              <w:t>多中心研究由牵头医疗卫生机构的研究者在系统填写，牵头机构和参与机构的临床研究管理部门、伦理（审查）委员会根据要求在系统上确认或上传有关补充材料、提交审核意见， 并分别对有关信息的真实性、准确性、完整性负责。</w:t>
            </w:r>
          </w:p>
        </w:tc>
        <w:tc>
          <w:tcPr>
            <w:tcW w:w="2594" w:type="pct"/>
            <w:tcBorders>
              <w:top w:val="nil"/>
              <w:left w:val="nil"/>
              <w:bottom w:val="nil"/>
              <w:right w:val="nil"/>
            </w:tcBorders>
            <w:shd w:val="clear" w:color="auto" w:fill="E1FFC8"/>
            <w:tcMar>
              <w:top w:w="0" w:type="dxa"/>
              <w:left w:w="0" w:type="dxa"/>
              <w:bottom w:w="0" w:type="dxa"/>
              <w:right w:w="0" w:type="dxa"/>
            </w:tcMar>
            <w:vAlign w:val="top"/>
          </w:tcPr>
          <w:p w14:paraId="42D98A3B">
            <w:pPr>
              <w:pStyle w:val="4"/>
              <w:keepNext w:val="0"/>
              <w:keepLines w:val="0"/>
              <w:widowControl/>
              <w:suppressLineNumbers w:val="0"/>
              <w:jc w:val="both"/>
              <w:rPr>
                <w:highlight w:val="none"/>
              </w:rPr>
            </w:pPr>
            <w:r>
              <w:rPr>
                <w:rStyle w:val="7"/>
                <w:highlight w:val="none"/>
              </w:rPr>
              <w:t>第二十七条</w:t>
            </w:r>
          </w:p>
          <w:p w14:paraId="2B9402D0">
            <w:pPr>
              <w:pStyle w:val="4"/>
              <w:keepNext w:val="0"/>
              <w:keepLines w:val="0"/>
              <w:widowControl/>
              <w:suppressLineNumbers w:val="0"/>
              <w:ind w:left="0" w:firstLine="420"/>
              <w:jc w:val="both"/>
              <w:rPr>
                <w:highlight w:val="none"/>
              </w:rPr>
            </w:pPr>
            <w:r>
              <w:rPr>
                <w:highlight w:val="none"/>
              </w:rPr>
              <w:t>多中心研究由牵头医疗卫生机构的</w:t>
            </w:r>
            <w:r>
              <w:rPr>
                <w:highlight w:val="none"/>
              </w:rPr>
              <w:t>研究者在系统填写</w:t>
            </w:r>
            <w:r>
              <w:rPr>
                <w:highlight w:val="none"/>
              </w:rPr>
              <w:t>，牵头机构和参与机构的临床研究管理部门、伦理(审查)委员会根据要求在系统上确认或上传有关补充材料、提交审核意见，并分别对有关信息的真实性、准确性、完整性负责。</w:t>
            </w:r>
          </w:p>
        </w:tc>
      </w:tr>
      <w:tr w14:paraId="381DB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362" w:type="pct"/>
            <w:tcBorders>
              <w:top w:val="nil"/>
              <w:left w:val="nil"/>
              <w:bottom w:val="nil"/>
              <w:right w:val="nil"/>
            </w:tcBorders>
            <w:shd w:val="clear" w:color="auto" w:fill="FAFFC8"/>
            <w:tcMar>
              <w:top w:w="0" w:type="dxa"/>
              <w:left w:w="0" w:type="dxa"/>
              <w:bottom w:w="0" w:type="dxa"/>
              <w:right w:w="0" w:type="dxa"/>
            </w:tcMar>
            <w:vAlign w:val="top"/>
          </w:tcPr>
          <w:p w14:paraId="429FA05C">
            <w:pPr>
              <w:pStyle w:val="4"/>
              <w:keepNext w:val="0"/>
              <w:keepLines w:val="0"/>
              <w:widowControl/>
              <w:suppressLineNumbers w:val="0"/>
              <w:jc w:val="both"/>
              <w:rPr>
                <w:highlight w:val="none"/>
              </w:rPr>
            </w:pPr>
            <w:r>
              <w:rPr>
                <w:rStyle w:val="7"/>
                <w:highlight w:val="none"/>
              </w:rPr>
              <w:t>第二十八条</w:t>
            </w:r>
          </w:p>
          <w:p w14:paraId="39DBF163">
            <w:pPr>
              <w:pStyle w:val="4"/>
              <w:keepNext w:val="0"/>
              <w:keepLines w:val="0"/>
              <w:widowControl/>
              <w:suppressLineNumbers w:val="0"/>
              <w:ind w:left="0" w:firstLine="420"/>
              <w:jc w:val="both"/>
              <w:rPr>
                <w:highlight w:val="none"/>
              </w:rPr>
            </w:pPr>
            <w:r>
              <w:rPr>
                <w:highlight w:val="none"/>
              </w:rPr>
              <w:t>完成信息上传的临床研究有关信息，通过系统或国家卫生健康委明确的平台向社会公开，接受同行和社会监督。</w:t>
            </w:r>
          </w:p>
        </w:tc>
        <w:tc>
          <w:tcPr>
            <w:tcW w:w="2594" w:type="pct"/>
            <w:tcBorders>
              <w:top w:val="nil"/>
              <w:left w:val="nil"/>
              <w:bottom w:val="nil"/>
              <w:right w:val="nil"/>
            </w:tcBorders>
            <w:shd w:val="clear" w:color="auto" w:fill="E1FFC8"/>
            <w:tcMar>
              <w:top w:w="0" w:type="dxa"/>
              <w:left w:w="0" w:type="dxa"/>
              <w:bottom w:w="0" w:type="dxa"/>
              <w:right w:w="0" w:type="dxa"/>
            </w:tcMar>
            <w:vAlign w:val="top"/>
          </w:tcPr>
          <w:p w14:paraId="3DB2BD18">
            <w:pPr>
              <w:pStyle w:val="4"/>
              <w:keepNext w:val="0"/>
              <w:keepLines w:val="0"/>
              <w:widowControl/>
              <w:suppressLineNumbers w:val="0"/>
              <w:jc w:val="both"/>
              <w:rPr>
                <w:highlight w:val="none"/>
              </w:rPr>
            </w:pPr>
            <w:r>
              <w:rPr>
                <w:rStyle w:val="7"/>
                <w:highlight w:val="none"/>
              </w:rPr>
              <w:t>第二十八条</w:t>
            </w:r>
          </w:p>
          <w:p w14:paraId="1A7D27E9">
            <w:pPr>
              <w:pStyle w:val="4"/>
              <w:keepNext w:val="0"/>
              <w:keepLines w:val="0"/>
              <w:widowControl/>
              <w:suppressLineNumbers w:val="0"/>
              <w:ind w:left="0" w:firstLine="420"/>
              <w:jc w:val="both"/>
              <w:rPr>
                <w:highlight w:val="none"/>
              </w:rPr>
            </w:pPr>
            <w:r>
              <w:rPr>
                <w:highlight w:val="none"/>
              </w:rPr>
              <w:t>完成信息上传的临床研究有关信息，通过系统或国家卫生健康委明确的平台向社会公开，接受同行和社会监督。</w:t>
            </w:r>
          </w:p>
        </w:tc>
      </w:tr>
      <w:tr w14:paraId="3717F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362" w:type="pct"/>
            <w:tcBorders>
              <w:top w:val="nil"/>
              <w:left w:val="nil"/>
              <w:bottom w:val="nil"/>
              <w:right w:val="nil"/>
            </w:tcBorders>
            <w:shd w:val="clear" w:color="auto" w:fill="FAFFC8"/>
            <w:tcMar>
              <w:top w:w="0" w:type="dxa"/>
              <w:left w:w="0" w:type="dxa"/>
              <w:bottom w:w="0" w:type="dxa"/>
              <w:right w:w="0" w:type="dxa"/>
            </w:tcMar>
            <w:vAlign w:val="top"/>
          </w:tcPr>
          <w:p w14:paraId="636C797D">
            <w:pPr>
              <w:pStyle w:val="4"/>
              <w:keepNext w:val="0"/>
              <w:keepLines w:val="0"/>
              <w:widowControl/>
              <w:suppressLineNumbers w:val="0"/>
              <w:rPr>
                <w:highlight w:val="none"/>
              </w:rPr>
            </w:pPr>
            <w:r>
              <w:rPr>
                <w:rStyle w:val="7"/>
                <w:highlight w:val="none"/>
              </w:rPr>
              <w:t>第五章 财务管理</w:t>
            </w:r>
          </w:p>
        </w:tc>
        <w:tc>
          <w:tcPr>
            <w:tcW w:w="2594" w:type="pct"/>
            <w:tcBorders>
              <w:top w:val="nil"/>
              <w:left w:val="nil"/>
              <w:bottom w:val="nil"/>
              <w:right w:val="nil"/>
            </w:tcBorders>
            <w:shd w:val="clear" w:color="auto" w:fill="E1FFC8"/>
            <w:tcMar>
              <w:top w:w="0" w:type="dxa"/>
              <w:left w:w="0" w:type="dxa"/>
              <w:bottom w:w="0" w:type="dxa"/>
              <w:right w:w="0" w:type="dxa"/>
            </w:tcMar>
            <w:vAlign w:val="top"/>
          </w:tcPr>
          <w:p w14:paraId="579D6CE9">
            <w:pPr>
              <w:pStyle w:val="4"/>
              <w:keepNext w:val="0"/>
              <w:keepLines w:val="0"/>
              <w:widowControl/>
              <w:suppressLineNumbers w:val="0"/>
              <w:rPr>
                <w:highlight w:val="none"/>
              </w:rPr>
            </w:pPr>
            <w:r>
              <w:rPr>
                <w:rStyle w:val="7"/>
                <w:highlight w:val="none"/>
              </w:rPr>
              <w:t>第五章 财务管理</w:t>
            </w:r>
          </w:p>
        </w:tc>
      </w:tr>
      <w:tr w14:paraId="082D4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362" w:type="pct"/>
            <w:tcBorders>
              <w:top w:val="nil"/>
              <w:left w:val="nil"/>
              <w:bottom w:val="nil"/>
              <w:right w:val="nil"/>
            </w:tcBorders>
            <w:shd w:val="clear" w:color="auto" w:fill="FAFFC8"/>
            <w:tcMar>
              <w:top w:w="0" w:type="dxa"/>
              <w:left w:w="0" w:type="dxa"/>
              <w:bottom w:w="0" w:type="dxa"/>
              <w:right w:w="0" w:type="dxa"/>
            </w:tcMar>
            <w:vAlign w:val="top"/>
          </w:tcPr>
          <w:p w14:paraId="344195E6">
            <w:pPr>
              <w:pStyle w:val="4"/>
              <w:keepNext w:val="0"/>
              <w:keepLines w:val="0"/>
              <w:widowControl/>
              <w:suppressLineNumbers w:val="0"/>
              <w:jc w:val="both"/>
              <w:rPr>
                <w:highlight w:val="none"/>
              </w:rPr>
            </w:pPr>
            <w:r>
              <w:rPr>
                <w:rStyle w:val="7"/>
                <w:highlight w:val="none"/>
              </w:rPr>
              <w:t>第二十九条</w:t>
            </w:r>
          </w:p>
          <w:p w14:paraId="0647D689">
            <w:pPr>
              <w:pStyle w:val="4"/>
              <w:keepNext w:val="0"/>
              <w:keepLines w:val="0"/>
              <w:widowControl/>
              <w:suppressLineNumbers w:val="0"/>
              <w:ind w:left="0" w:firstLine="420"/>
              <w:jc w:val="both"/>
              <w:rPr>
                <w:highlight w:val="none"/>
              </w:rPr>
            </w:pPr>
            <w:r>
              <w:rPr>
                <w:highlight w:val="none"/>
              </w:rPr>
              <w:t>医疗卫生机构应当根据国家法律法规规定和文件要求，建立临床研究经费管理制度，对批准立项的临床研究经费纳入单位收支进行统一管理，专款专用。</w:t>
            </w:r>
          </w:p>
          <w:p w14:paraId="24AEAAED">
            <w:pPr>
              <w:pStyle w:val="4"/>
              <w:keepNext w:val="0"/>
              <w:keepLines w:val="0"/>
              <w:widowControl/>
              <w:suppressLineNumbers w:val="0"/>
              <w:ind w:left="0" w:firstLine="420"/>
              <w:jc w:val="both"/>
              <w:rPr>
                <w:highlight w:val="none"/>
              </w:rPr>
            </w:pPr>
            <w:r>
              <w:rPr>
                <w:highlight w:val="none"/>
              </w:rPr>
              <w:t>医疗卫生机构内设科室、部门和个人不得私自收受临床研究经费及物品。</w:t>
            </w:r>
          </w:p>
        </w:tc>
        <w:tc>
          <w:tcPr>
            <w:tcW w:w="2594" w:type="pct"/>
            <w:tcBorders>
              <w:top w:val="nil"/>
              <w:left w:val="nil"/>
              <w:bottom w:val="nil"/>
              <w:right w:val="nil"/>
            </w:tcBorders>
            <w:shd w:val="clear" w:color="auto" w:fill="E1FFC8"/>
            <w:tcMar>
              <w:top w:w="0" w:type="dxa"/>
              <w:left w:w="0" w:type="dxa"/>
              <w:bottom w:w="0" w:type="dxa"/>
              <w:right w:w="0" w:type="dxa"/>
            </w:tcMar>
            <w:vAlign w:val="top"/>
          </w:tcPr>
          <w:p w14:paraId="2AA14841">
            <w:pPr>
              <w:pStyle w:val="4"/>
              <w:keepNext w:val="0"/>
              <w:keepLines w:val="0"/>
              <w:widowControl/>
              <w:suppressLineNumbers w:val="0"/>
              <w:jc w:val="both"/>
              <w:rPr>
                <w:highlight w:val="none"/>
              </w:rPr>
            </w:pPr>
            <w:r>
              <w:rPr>
                <w:rStyle w:val="7"/>
                <w:highlight w:val="none"/>
              </w:rPr>
              <w:t>第二十九条</w:t>
            </w:r>
          </w:p>
          <w:p w14:paraId="0FBC3C8F">
            <w:pPr>
              <w:pStyle w:val="4"/>
              <w:keepNext w:val="0"/>
              <w:keepLines w:val="0"/>
              <w:widowControl/>
              <w:suppressLineNumbers w:val="0"/>
              <w:ind w:left="0" w:firstLine="420"/>
              <w:jc w:val="both"/>
              <w:rPr>
                <w:highlight w:val="none"/>
              </w:rPr>
            </w:pPr>
            <w:r>
              <w:rPr>
                <w:highlight w:val="none"/>
              </w:rPr>
              <w:t>医疗卫生机构应当根据国家法律法规规定和文件要求，建立临床研究经费管理制度，对批准立项的临床研究经费纳入单位收支进行统一管理，专款专用。</w:t>
            </w:r>
          </w:p>
          <w:p w14:paraId="0BFA6FD7">
            <w:pPr>
              <w:pStyle w:val="4"/>
              <w:keepNext w:val="0"/>
              <w:keepLines w:val="0"/>
              <w:widowControl/>
              <w:suppressLineNumbers w:val="0"/>
              <w:ind w:left="0" w:firstLine="420"/>
              <w:jc w:val="both"/>
              <w:rPr>
                <w:highlight w:val="none"/>
              </w:rPr>
            </w:pPr>
            <w:r>
              <w:rPr>
                <w:highlight w:val="none"/>
              </w:rPr>
              <w:t>医疗卫生机构内设科室、部门和个人不得私自收受临床研究经费及物品。</w:t>
            </w:r>
          </w:p>
        </w:tc>
      </w:tr>
      <w:tr w14:paraId="43090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362" w:type="pct"/>
            <w:tcBorders>
              <w:top w:val="nil"/>
              <w:left w:val="nil"/>
              <w:bottom w:val="nil"/>
              <w:right w:val="nil"/>
            </w:tcBorders>
            <w:shd w:val="clear" w:color="auto" w:fill="FAFFC8"/>
            <w:tcMar>
              <w:top w:w="0" w:type="dxa"/>
              <w:left w:w="0" w:type="dxa"/>
              <w:bottom w:w="0" w:type="dxa"/>
              <w:right w:w="0" w:type="dxa"/>
            </w:tcMar>
            <w:vAlign w:val="top"/>
          </w:tcPr>
          <w:p w14:paraId="73074F68">
            <w:pPr>
              <w:pStyle w:val="4"/>
              <w:keepNext w:val="0"/>
              <w:keepLines w:val="0"/>
              <w:widowControl/>
              <w:suppressLineNumbers w:val="0"/>
              <w:jc w:val="both"/>
              <w:rPr>
                <w:highlight w:val="none"/>
              </w:rPr>
            </w:pPr>
            <w:r>
              <w:rPr>
                <w:rStyle w:val="7"/>
                <w:highlight w:val="none"/>
              </w:rPr>
              <w:t>第三十条</w:t>
            </w:r>
          </w:p>
          <w:p w14:paraId="1174F646">
            <w:pPr>
              <w:pStyle w:val="4"/>
              <w:keepNext w:val="0"/>
              <w:keepLines w:val="0"/>
              <w:widowControl/>
              <w:suppressLineNumbers w:val="0"/>
              <w:ind w:left="0" w:firstLine="420"/>
              <w:jc w:val="both"/>
              <w:rPr>
                <w:highlight w:val="none"/>
              </w:rPr>
            </w:pPr>
            <w:r>
              <w:rPr>
                <w:highlight w:val="none"/>
              </w:rPr>
              <w:t>研究者应当严格执行本医疗卫生机构规章制度，合理使用研究经费，不得擅自调整或挪作他用。</w:t>
            </w:r>
          </w:p>
        </w:tc>
        <w:tc>
          <w:tcPr>
            <w:tcW w:w="2594" w:type="pct"/>
            <w:tcBorders>
              <w:top w:val="nil"/>
              <w:left w:val="nil"/>
              <w:bottom w:val="nil"/>
              <w:right w:val="nil"/>
            </w:tcBorders>
            <w:shd w:val="clear" w:color="auto" w:fill="E1FFC8"/>
            <w:tcMar>
              <w:top w:w="0" w:type="dxa"/>
              <w:left w:w="0" w:type="dxa"/>
              <w:bottom w:w="0" w:type="dxa"/>
              <w:right w:w="0" w:type="dxa"/>
            </w:tcMar>
            <w:vAlign w:val="top"/>
          </w:tcPr>
          <w:p w14:paraId="0C58F9DF">
            <w:pPr>
              <w:pStyle w:val="4"/>
              <w:keepNext w:val="0"/>
              <w:keepLines w:val="0"/>
              <w:widowControl/>
              <w:suppressLineNumbers w:val="0"/>
              <w:jc w:val="both"/>
              <w:rPr>
                <w:highlight w:val="none"/>
              </w:rPr>
            </w:pPr>
            <w:r>
              <w:rPr>
                <w:rStyle w:val="7"/>
                <w:highlight w:val="none"/>
              </w:rPr>
              <w:t>第三十条</w:t>
            </w:r>
          </w:p>
          <w:p w14:paraId="0741F23E">
            <w:pPr>
              <w:pStyle w:val="4"/>
              <w:keepNext w:val="0"/>
              <w:keepLines w:val="0"/>
              <w:widowControl/>
              <w:suppressLineNumbers w:val="0"/>
              <w:ind w:left="0" w:firstLine="420"/>
              <w:jc w:val="both"/>
              <w:rPr>
                <w:highlight w:val="none"/>
              </w:rPr>
            </w:pPr>
            <w:r>
              <w:rPr>
                <w:highlight w:val="none"/>
              </w:rPr>
              <w:t>研究者应当严格执行本医疗卫生机构规章制度，合理使用研究经费，不得擅自调整或挪作他用。</w:t>
            </w:r>
          </w:p>
        </w:tc>
      </w:tr>
      <w:tr w14:paraId="6A755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362" w:type="pct"/>
            <w:tcBorders>
              <w:top w:val="nil"/>
              <w:left w:val="nil"/>
              <w:bottom w:val="nil"/>
              <w:right w:val="nil"/>
            </w:tcBorders>
            <w:shd w:val="clear" w:color="auto" w:fill="FAFFC8"/>
            <w:tcMar>
              <w:top w:w="0" w:type="dxa"/>
              <w:left w:w="0" w:type="dxa"/>
              <w:bottom w:w="0" w:type="dxa"/>
              <w:right w:w="0" w:type="dxa"/>
            </w:tcMar>
            <w:vAlign w:val="top"/>
          </w:tcPr>
          <w:p w14:paraId="76374B6D">
            <w:pPr>
              <w:pStyle w:val="4"/>
              <w:keepNext w:val="0"/>
              <w:keepLines w:val="0"/>
              <w:widowControl/>
              <w:suppressLineNumbers w:val="0"/>
              <w:jc w:val="both"/>
              <w:rPr>
                <w:highlight w:val="none"/>
              </w:rPr>
            </w:pPr>
            <w:r>
              <w:rPr>
                <w:rStyle w:val="7"/>
                <w:highlight w:val="none"/>
              </w:rPr>
              <w:t>第三十一条</w:t>
            </w:r>
          </w:p>
          <w:p w14:paraId="1FD440BD">
            <w:pPr>
              <w:pStyle w:val="4"/>
              <w:keepNext w:val="0"/>
              <w:keepLines w:val="0"/>
              <w:widowControl/>
              <w:suppressLineNumbers w:val="0"/>
              <w:ind w:left="0" w:firstLine="420"/>
              <w:jc w:val="both"/>
              <w:rPr>
                <w:highlight w:val="none"/>
              </w:rPr>
            </w:pPr>
            <w:r>
              <w:rPr>
                <w:highlight w:val="none"/>
              </w:rPr>
              <w:t>医疗卫生机构或研究者严禁违规向受试者或</w:t>
            </w:r>
            <w:r>
              <w:rPr>
                <w:rStyle w:val="7"/>
                <w:color w:val="A65BCB"/>
                <w:highlight w:val="none"/>
              </w:rPr>
              <w:t>研究对象</w:t>
            </w:r>
            <w:r>
              <w:rPr>
                <w:highlight w:val="none"/>
              </w:rPr>
              <w:t>收取与研究相关的费用。</w:t>
            </w:r>
          </w:p>
        </w:tc>
        <w:tc>
          <w:tcPr>
            <w:tcW w:w="2594" w:type="pct"/>
            <w:tcBorders>
              <w:top w:val="nil"/>
              <w:left w:val="nil"/>
              <w:bottom w:val="nil"/>
              <w:right w:val="nil"/>
            </w:tcBorders>
            <w:shd w:val="clear" w:color="auto" w:fill="E1FFC8"/>
            <w:tcMar>
              <w:top w:w="0" w:type="dxa"/>
              <w:left w:w="0" w:type="dxa"/>
              <w:bottom w:w="0" w:type="dxa"/>
              <w:right w:w="0" w:type="dxa"/>
            </w:tcMar>
            <w:vAlign w:val="top"/>
          </w:tcPr>
          <w:p w14:paraId="4ED98FCB">
            <w:pPr>
              <w:pStyle w:val="4"/>
              <w:keepNext w:val="0"/>
              <w:keepLines w:val="0"/>
              <w:widowControl/>
              <w:suppressLineNumbers w:val="0"/>
              <w:jc w:val="both"/>
              <w:rPr>
                <w:highlight w:val="none"/>
              </w:rPr>
            </w:pPr>
            <w:r>
              <w:rPr>
                <w:rStyle w:val="7"/>
                <w:highlight w:val="none"/>
              </w:rPr>
              <w:t>第三十一条</w:t>
            </w:r>
          </w:p>
          <w:p w14:paraId="1147FABD">
            <w:pPr>
              <w:pStyle w:val="4"/>
              <w:keepNext w:val="0"/>
              <w:keepLines w:val="0"/>
              <w:widowControl/>
              <w:suppressLineNumbers w:val="0"/>
              <w:ind w:left="0" w:firstLine="420"/>
              <w:jc w:val="both"/>
              <w:rPr>
                <w:highlight w:val="none"/>
              </w:rPr>
            </w:pPr>
            <w:r>
              <w:rPr>
                <w:highlight w:val="none"/>
              </w:rPr>
              <w:t>医疗卫生机构或研究者严禁违规向</w:t>
            </w:r>
            <w:r>
              <w:rPr>
                <w:rStyle w:val="7"/>
                <w:color w:val="FF0000"/>
                <w:highlight w:val="none"/>
              </w:rPr>
              <w:t>研究参与者</w:t>
            </w:r>
            <w:r>
              <w:rPr>
                <w:highlight w:val="none"/>
              </w:rPr>
              <w:t>收取与研究相关的费用。</w:t>
            </w:r>
          </w:p>
        </w:tc>
      </w:tr>
      <w:tr w14:paraId="30C2E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362" w:type="pct"/>
            <w:tcBorders>
              <w:top w:val="nil"/>
              <w:left w:val="nil"/>
              <w:bottom w:val="nil"/>
              <w:right w:val="nil"/>
            </w:tcBorders>
            <w:shd w:val="clear" w:color="auto" w:fill="FAFFC8"/>
            <w:tcMar>
              <w:top w:w="0" w:type="dxa"/>
              <w:left w:w="0" w:type="dxa"/>
              <w:bottom w:w="0" w:type="dxa"/>
              <w:right w:w="0" w:type="dxa"/>
            </w:tcMar>
            <w:vAlign w:val="top"/>
          </w:tcPr>
          <w:p w14:paraId="76EC4928">
            <w:pPr>
              <w:pStyle w:val="4"/>
              <w:keepNext w:val="0"/>
              <w:keepLines w:val="0"/>
              <w:widowControl/>
              <w:suppressLineNumbers w:val="0"/>
              <w:rPr>
                <w:highlight w:val="none"/>
              </w:rPr>
            </w:pPr>
            <w:r>
              <w:rPr>
                <w:rStyle w:val="7"/>
                <w:highlight w:val="none"/>
              </w:rPr>
              <w:t>第六章  实施管理</w:t>
            </w:r>
          </w:p>
        </w:tc>
        <w:tc>
          <w:tcPr>
            <w:tcW w:w="2594" w:type="pct"/>
            <w:tcBorders>
              <w:top w:val="nil"/>
              <w:left w:val="nil"/>
              <w:bottom w:val="nil"/>
              <w:right w:val="nil"/>
            </w:tcBorders>
            <w:shd w:val="clear" w:color="auto" w:fill="E1FFC8"/>
            <w:tcMar>
              <w:top w:w="0" w:type="dxa"/>
              <w:left w:w="0" w:type="dxa"/>
              <w:bottom w:w="0" w:type="dxa"/>
              <w:right w:w="0" w:type="dxa"/>
            </w:tcMar>
            <w:vAlign w:val="top"/>
          </w:tcPr>
          <w:p w14:paraId="7A7DAFBA">
            <w:pPr>
              <w:pStyle w:val="4"/>
              <w:keepNext w:val="0"/>
              <w:keepLines w:val="0"/>
              <w:widowControl/>
              <w:suppressLineNumbers w:val="0"/>
              <w:rPr>
                <w:highlight w:val="none"/>
              </w:rPr>
            </w:pPr>
            <w:r>
              <w:rPr>
                <w:rStyle w:val="7"/>
                <w:highlight w:val="none"/>
              </w:rPr>
              <w:t>第六章  实施管理</w:t>
            </w:r>
          </w:p>
        </w:tc>
      </w:tr>
      <w:tr w14:paraId="3794C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362" w:type="pct"/>
            <w:tcBorders>
              <w:top w:val="nil"/>
              <w:left w:val="nil"/>
              <w:bottom w:val="nil"/>
              <w:right w:val="nil"/>
            </w:tcBorders>
            <w:shd w:val="clear" w:color="auto" w:fill="FAFFC8"/>
            <w:tcMar>
              <w:top w:w="0" w:type="dxa"/>
              <w:left w:w="0" w:type="dxa"/>
              <w:bottom w:w="0" w:type="dxa"/>
              <w:right w:w="0" w:type="dxa"/>
            </w:tcMar>
            <w:vAlign w:val="top"/>
          </w:tcPr>
          <w:p w14:paraId="09AA19AF">
            <w:pPr>
              <w:pStyle w:val="4"/>
              <w:keepNext w:val="0"/>
              <w:keepLines w:val="0"/>
              <w:widowControl/>
              <w:suppressLineNumbers w:val="0"/>
              <w:jc w:val="both"/>
              <w:rPr>
                <w:highlight w:val="none"/>
              </w:rPr>
            </w:pPr>
            <w:r>
              <w:rPr>
                <w:rStyle w:val="7"/>
                <w:highlight w:val="none"/>
              </w:rPr>
              <w:t>第三十二条</w:t>
            </w:r>
          </w:p>
          <w:p w14:paraId="40DCC3F0">
            <w:pPr>
              <w:pStyle w:val="4"/>
              <w:keepNext w:val="0"/>
              <w:keepLines w:val="0"/>
              <w:widowControl/>
              <w:suppressLineNumbers w:val="0"/>
              <w:ind w:left="0" w:firstLine="420"/>
              <w:jc w:val="both"/>
              <w:rPr>
                <w:highlight w:val="none"/>
              </w:rPr>
            </w:pPr>
            <w:r>
              <w:rPr>
                <w:highlight w:val="none"/>
              </w:rPr>
              <w:t>研究者应当严格按照批准的方案开展临床研究，稳慎、积极推动临床研究开展， 如实记录临床研究过程和结果并妥善保存，配合医疗卫生机构及卫生健康行政部门完成对临床研究的监督检查。</w:t>
            </w:r>
          </w:p>
        </w:tc>
        <w:tc>
          <w:tcPr>
            <w:tcW w:w="2594" w:type="pct"/>
            <w:tcBorders>
              <w:top w:val="nil"/>
              <w:left w:val="nil"/>
              <w:bottom w:val="nil"/>
              <w:right w:val="nil"/>
            </w:tcBorders>
            <w:shd w:val="clear" w:color="auto" w:fill="E1FFC8"/>
            <w:tcMar>
              <w:top w:w="0" w:type="dxa"/>
              <w:left w:w="0" w:type="dxa"/>
              <w:bottom w:w="0" w:type="dxa"/>
              <w:right w:w="0" w:type="dxa"/>
            </w:tcMar>
            <w:vAlign w:val="top"/>
          </w:tcPr>
          <w:p w14:paraId="236E4F90">
            <w:pPr>
              <w:pStyle w:val="4"/>
              <w:keepNext w:val="0"/>
              <w:keepLines w:val="0"/>
              <w:widowControl/>
              <w:suppressLineNumbers w:val="0"/>
              <w:jc w:val="both"/>
              <w:rPr>
                <w:highlight w:val="none"/>
              </w:rPr>
            </w:pPr>
            <w:r>
              <w:rPr>
                <w:rStyle w:val="7"/>
                <w:highlight w:val="none"/>
              </w:rPr>
              <w:t>第三十二条</w:t>
            </w:r>
          </w:p>
          <w:p w14:paraId="36080F48">
            <w:pPr>
              <w:pStyle w:val="4"/>
              <w:keepNext w:val="0"/>
              <w:keepLines w:val="0"/>
              <w:widowControl/>
              <w:suppressLineNumbers w:val="0"/>
              <w:ind w:left="0" w:firstLine="420"/>
              <w:jc w:val="both"/>
              <w:rPr>
                <w:highlight w:val="none"/>
              </w:rPr>
            </w:pPr>
            <w:r>
              <w:rPr>
                <w:highlight w:val="none"/>
              </w:rPr>
              <w:t>研究者应当严格按照批准的方案开展临床研究，稳慎、积极推动临床研究开展，如实记录临床研究过程和结果并妥善保存，配合医疗卫生机构及卫生健康行政部门完成对临床研究的监督检查。</w:t>
            </w:r>
          </w:p>
        </w:tc>
      </w:tr>
      <w:tr w14:paraId="726A4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362" w:type="pct"/>
            <w:tcBorders>
              <w:top w:val="nil"/>
              <w:left w:val="nil"/>
              <w:bottom w:val="nil"/>
              <w:right w:val="nil"/>
            </w:tcBorders>
            <w:shd w:val="clear" w:color="auto" w:fill="FAFFC8"/>
            <w:tcMar>
              <w:top w:w="0" w:type="dxa"/>
              <w:left w:w="0" w:type="dxa"/>
              <w:bottom w:w="0" w:type="dxa"/>
              <w:right w:w="0" w:type="dxa"/>
            </w:tcMar>
            <w:vAlign w:val="top"/>
          </w:tcPr>
          <w:p w14:paraId="6832FC07">
            <w:pPr>
              <w:pStyle w:val="4"/>
              <w:keepNext w:val="0"/>
              <w:keepLines w:val="0"/>
              <w:widowControl/>
              <w:suppressLineNumbers w:val="0"/>
              <w:jc w:val="both"/>
              <w:rPr>
                <w:highlight w:val="none"/>
              </w:rPr>
            </w:pPr>
            <w:r>
              <w:rPr>
                <w:rStyle w:val="7"/>
                <w:highlight w:val="none"/>
              </w:rPr>
              <w:t>第三十三条</w:t>
            </w:r>
          </w:p>
          <w:p w14:paraId="2C782649">
            <w:pPr>
              <w:pStyle w:val="4"/>
              <w:keepNext w:val="0"/>
              <w:keepLines w:val="0"/>
              <w:widowControl/>
              <w:suppressLineNumbers w:val="0"/>
              <w:ind w:left="0" w:firstLine="420"/>
              <w:jc w:val="both"/>
              <w:rPr>
                <w:highlight w:val="none"/>
              </w:rPr>
            </w:pPr>
            <w:r>
              <w:rPr>
                <w:highlight w:val="none"/>
              </w:rPr>
              <w:t>在研究过程中，研究者需要对已立项的临床研究项目进行变更的，应当向医疗卫生机构临床研究管理部门报告。</w:t>
            </w:r>
          </w:p>
          <w:p w14:paraId="766C4939">
            <w:pPr>
              <w:pStyle w:val="4"/>
              <w:keepNext w:val="0"/>
              <w:keepLines w:val="0"/>
              <w:widowControl/>
              <w:suppressLineNumbers w:val="0"/>
              <w:ind w:left="0" w:firstLine="420"/>
              <w:jc w:val="both"/>
              <w:rPr>
                <w:highlight w:val="none"/>
              </w:rPr>
            </w:pPr>
            <w:r>
              <w:rPr>
                <w:highlight w:val="none"/>
              </w:rPr>
              <w:t>临床研究管理部门应当按照科学性审查和伦理审查制度组织评估， 对涉及研究目的、研究方法、主要研究终点、统计方法以及</w:t>
            </w:r>
            <w:r>
              <w:rPr>
                <w:rStyle w:val="7"/>
                <w:color w:val="A65BCB"/>
                <w:highlight w:val="none"/>
              </w:rPr>
              <w:t>研究对象</w:t>
            </w:r>
            <w:r>
              <w:rPr>
                <w:highlight w:val="none"/>
              </w:rPr>
              <w:t>等实质修改的，应当重新进行科学性和伦理审查。</w:t>
            </w:r>
          </w:p>
          <w:p w14:paraId="0FB0F8C4">
            <w:pPr>
              <w:pStyle w:val="4"/>
              <w:keepNext w:val="0"/>
              <w:keepLines w:val="0"/>
              <w:widowControl/>
              <w:suppressLineNumbers w:val="0"/>
              <w:ind w:left="0" w:firstLine="420"/>
              <w:jc w:val="both"/>
              <w:rPr>
                <w:highlight w:val="none"/>
              </w:rPr>
            </w:pPr>
            <w:r>
              <w:rPr>
                <w:highlight w:val="none"/>
              </w:rPr>
              <w:t>对需要重新审查的，应当及时启动审查。</w:t>
            </w:r>
          </w:p>
        </w:tc>
        <w:tc>
          <w:tcPr>
            <w:tcW w:w="2594" w:type="pct"/>
            <w:tcBorders>
              <w:top w:val="nil"/>
              <w:left w:val="nil"/>
              <w:bottom w:val="nil"/>
              <w:right w:val="nil"/>
            </w:tcBorders>
            <w:shd w:val="clear" w:color="auto" w:fill="E1FFC8"/>
            <w:tcMar>
              <w:top w:w="0" w:type="dxa"/>
              <w:left w:w="0" w:type="dxa"/>
              <w:bottom w:w="0" w:type="dxa"/>
              <w:right w:w="0" w:type="dxa"/>
            </w:tcMar>
            <w:vAlign w:val="top"/>
          </w:tcPr>
          <w:p w14:paraId="169D0F7E">
            <w:pPr>
              <w:pStyle w:val="4"/>
              <w:keepNext w:val="0"/>
              <w:keepLines w:val="0"/>
              <w:widowControl/>
              <w:suppressLineNumbers w:val="0"/>
              <w:jc w:val="both"/>
              <w:rPr>
                <w:highlight w:val="none"/>
              </w:rPr>
            </w:pPr>
            <w:r>
              <w:rPr>
                <w:rStyle w:val="7"/>
                <w:highlight w:val="none"/>
              </w:rPr>
              <w:t>第三十三条</w:t>
            </w:r>
          </w:p>
          <w:p w14:paraId="20633C5F">
            <w:pPr>
              <w:pStyle w:val="4"/>
              <w:keepNext w:val="0"/>
              <w:keepLines w:val="0"/>
              <w:widowControl/>
              <w:suppressLineNumbers w:val="0"/>
              <w:ind w:left="0" w:firstLine="420"/>
              <w:jc w:val="both"/>
              <w:rPr>
                <w:highlight w:val="none"/>
              </w:rPr>
            </w:pPr>
            <w:r>
              <w:rPr>
                <w:highlight w:val="none"/>
              </w:rPr>
              <w:t>在研究过程中，研究者需要对已立项的临床研究项目进行变更的，应当向医疗卫生机构临床研究管理部门报告。</w:t>
            </w:r>
          </w:p>
          <w:p w14:paraId="37C6E946">
            <w:pPr>
              <w:pStyle w:val="4"/>
              <w:keepNext w:val="0"/>
              <w:keepLines w:val="0"/>
              <w:widowControl/>
              <w:suppressLineNumbers w:val="0"/>
              <w:ind w:left="0" w:firstLine="420"/>
              <w:jc w:val="both"/>
              <w:rPr>
                <w:highlight w:val="none"/>
              </w:rPr>
            </w:pPr>
            <w:r>
              <w:rPr>
                <w:highlight w:val="none"/>
              </w:rPr>
              <w:t>临床研究管理部门应当按照科学性审查和伦理审查制度组织评估，对涉及研究目的、研究方法、主要研究终点、统计方法以及</w:t>
            </w:r>
            <w:r>
              <w:rPr>
                <w:rStyle w:val="7"/>
                <w:color w:val="FF0000"/>
                <w:highlight w:val="none"/>
              </w:rPr>
              <w:t>研究参与者</w:t>
            </w:r>
            <w:r>
              <w:rPr>
                <w:highlight w:val="none"/>
              </w:rPr>
              <w:t>等实质修改的，应当重新进行科学性和伦理审查。</w:t>
            </w:r>
          </w:p>
          <w:p w14:paraId="476AE586">
            <w:pPr>
              <w:pStyle w:val="4"/>
              <w:keepNext w:val="0"/>
              <w:keepLines w:val="0"/>
              <w:widowControl/>
              <w:suppressLineNumbers w:val="0"/>
              <w:ind w:left="0" w:firstLine="420"/>
              <w:jc w:val="both"/>
              <w:rPr>
                <w:highlight w:val="none"/>
              </w:rPr>
            </w:pPr>
            <w:r>
              <w:rPr>
                <w:highlight w:val="none"/>
              </w:rPr>
              <w:t>对需要重新审查的，应当及时启动审查。</w:t>
            </w:r>
          </w:p>
        </w:tc>
      </w:tr>
      <w:tr w14:paraId="607B1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362" w:type="pct"/>
            <w:tcBorders>
              <w:top w:val="nil"/>
              <w:left w:val="nil"/>
              <w:bottom w:val="nil"/>
              <w:right w:val="nil"/>
            </w:tcBorders>
            <w:shd w:val="clear" w:color="auto" w:fill="FAFFC8"/>
            <w:tcMar>
              <w:top w:w="0" w:type="dxa"/>
              <w:left w:w="0" w:type="dxa"/>
              <w:bottom w:w="0" w:type="dxa"/>
              <w:right w:w="0" w:type="dxa"/>
            </w:tcMar>
            <w:vAlign w:val="top"/>
          </w:tcPr>
          <w:p w14:paraId="3BF1D9B5">
            <w:pPr>
              <w:pStyle w:val="4"/>
              <w:keepNext w:val="0"/>
              <w:keepLines w:val="0"/>
              <w:widowControl/>
              <w:suppressLineNumbers w:val="0"/>
              <w:jc w:val="both"/>
              <w:rPr>
                <w:highlight w:val="none"/>
              </w:rPr>
            </w:pPr>
            <w:r>
              <w:rPr>
                <w:rStyle w:val="7"/>
                <w:highlight w:val="none"/>
              </w:rPr>
              <w:t>第三十四条</w:t>
            </w:r>
          </w:p>
          <w:p w14:paraId="419E979A">
            <w:pPr>
              <w:pStyle w:val="4"/>
              <w:keepNext w:val="0"/>
              <w:keepLines w:val="0"/>
              <w:widowControl/>
              <w:suppressLineNumbers w:val="0"/>
              <w:ind w:left="0" w:firstLine="420"/>
              <w:jc w:val="both"/>
              <w:rPr>
                <w:highlight w:val="none"/>
              </w:rPr>
            </w:pPr>
            <w:r>
              <w:rPr>
                <w:highlight w:val="none"/>
              </w:rPr>
              <w:t>研究者可以申请暂停或终止临床研究。</w:t>
            </w:r>
          </w:p>
          <w:p w14:paraId="411967E6">
            <w:pPr>
              <w:pStyle w:val="4"/>
              <w:keepNext w:val="0"/>
              <w:keepLines w:val="0"/>
              <w:widowControl/>
              <w:suppressLineNumbers w:val="0"/>
              <w:ind w:left="0" w:firstLine="420"/>
              <w:jc w:val="both"/>
              <w:rPr>
                <w:highlight w:val="none"/>
              </w:rPr>
            </w:pPr>
            <w:r>
              <w:rPr>
                <w:highlight w:val="none"/>
              </w:rPr>
              <w:t>申请暂停或终止临床研究的，应当向临床研究管理部门报告并说明原因。医疗卫生机构应当按照临床研究全过程管理制度，作出是否同意暂停或终止的决定。</w:t>
            </w:r>
          </w:p>
          <w:p w14:paraId="5D7A0A02">
            <w:pPr>
              <w:pStyle w:val="4"/>
              <w:keepNext w:val="0"/>
              <w:keepLines w:val="0"/>
              <w:widowControl/>
              <w:suppressLineNumbers w:val="0"/>
              <w:ind w:left="0" w:firstLine="420"/>
              <w:jc w:val="both"/>
              <w:rPr>
                <w:highlight w:val="none"/>
              </w:rPr>
            </w:pPr>
            <w:r>
              <w:rPr>
                <w:highlight w:val="none"/>
              </w:rPr>
              <w:t>暂停或终止的干预性临床研究，已经有受试者入组的，医疗卫生机构及研究者应当制定方案，妥善保障已经入组受试者的权益。</w:t>
            </w:r>
          </w:p>
        </w:tc>
        <w:tc>
          <w:tcPr>
            <w:tcW w:w="2594" w:type="pct"/>
            <w:tcBorders>
              <w:top w:val="nil"/>
              <w:left w:val="nil"/>
              <w:bottom w:val="nil"/>
              <w:right w:val="nil"/>
            </w:tcBorders>
            <w:shd w:val="clear" w:color="auto" w:fill="E1FFC8"/>
            <w:tcMar>
              <w:top w:w="0" w:type="dxa"/>
              <w:left w:w="0" w:type="dxa"/>
              <w:bottom w:w="0" w:type="dxa"/>
              <w:right w:w="0" w:type="dxa"/>
            </w:tcMar>
            <w:vAlign w:val="top"/>
          </w:tcPr>
          <w:p w14:paraId="7C40CF18">
            <w:pPr>
              <w:pStyle w:val="4"/>
              <w:keepNext w:val="0"/>
              <w:keepLines w:val="0"/>
              <w:widowControl/>
              <w:suppressLineNumbers w:val="0"/>
              <w:jc w:val="both"/>
              <w:rPr>
                <w:highlight w:val="none"/>
              </w:rPr>
            </w:pPr>
            <w:r>
              <w:rPr>
                <w:rStyle w:val="7"/>
                <w:highlight w:val="none"/>
              </w:rPr>
              <w:t>第三十四条</w:t>
            </w:r>
          </w:p>
          <w:p w14:paraId="75E4A5B9">
            <w:pPr>
              <w:pStyle w:val="4"/>
              <w:keepNext w:val="0"/>
              <w:keepLines w:val="0"/>
              <w:widowControl/>
              <w:suppressLineNumbers w:val="0"/>
              <w:ind w:left="0" w:firstLine="420"/>
              <w:jc w:val="both"/>
              <w:rPr>
                <w:highlight w:val="none"/>
              </w:rPr>
            </w:pPr>
            <w:r>
              <w:rPr>
                <w:highlight w:val="none"/>
              </w:rPr>
              <w:t>研究者可以申请暂停或终止临床研究。</w:t>
            </w:r>
          </w:p>
          <w:p w14:paraId="29F05DF2">
            <w:pPr>
              <w:pStyle w:val="4"/>
              <w:keepNext w:val="0"/>
              <w:keepLines w:val="0"/>
              <w:widowControl/>
              <w:suppressLineNumbers w:val="0"/>
              <w:ind w:left="0" w:firstLine="420"/>
              <w:jc w:val="both"/>
              <w:rPr>
                <w:highlight w:val="none"/>
              </w:rPr>
            </w:pPr>
            <w:r>
              <w:rPr>
                <w:highlight w:val="none"/>
              </w:rPr>
              <w:t>申请暂停或终止临床研究的，应当向临床研究管理部门报告并说明原因。医疗卫生机构应当按照临床研究全过程管理制度，作出是否同意暂停或终止的决定。</w:t>
            </w:r>
          </w:p>
          <w:p w14:paraId="57BB3683">
            <w:pPr>
              <w:pStyle w:val="4"/>
              <w:keepNext w:val="0"/>
              <w:keepLines w:val="0"/>
              <w:widowControl/>
              <w:suppressLineNumbers w:val="0"/>
              <w:ind w:left="0" w:firstLine="420"/>
              <w:jc w:val="both"/>
              <w:rPr>
                <w:highlight w:val="none"/>
              </w:rPr>
            </w:pPr>
            <w:r>
              <w:rPr>
                <w:highlight w:val="none"/>
              </w:rPr>
              <w:t>暂停或终止的干预性临床研究，已经有受试者入组的，医疗卫生机构及研究者应当制定方案，妥善保障已经入组受试者的权益。</w:t>
            </w:r>
          </w:p>
        </w:tc>
      </w:tr>
      <w:tr w14:paraId="4D663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362" w:type="pct"/>
            <w:tcBorders>
              <w:top w:val="nil"/>
              <w:left w:val="nil"/>
              <w:bottom w:val="nil"/>
              <w:right w:val="nil"/>
            </w:tcBorders>
            <w:shd w:val="clear" w:color="auto" w:fill="FAFFC8"/>
            <w:tcMar>
              <w:top w:w="0" w:type="dxa"/>
              <w:left w:w="0" w:type="dxa"/>
              <w:bottom w:w="0" w:type="dxa"/>
              <w:right w:w="0" w:type="dxa"/>
            </w:tcMar>
            <w:vAlign w:val="top"/>
          </w:tcPr>
          <w:p w14:paraId="2ACE03EC">
            <w:pPr>
              <w:pStyle w:val="4"/>
              <w:keepNext w:val="0"/>
              <w:keepLines w:val="0"/>
              <w:widowControl/>
              <w:suppressLineNumbers w:val="0"/>
              <w:jc w:val="both"/>
              <w:rPr>
                <w:highlight w:val="none"/>
              </w:rPr>
            </w:pPr>
            <w:r>
              <w:rPr>
                <w:rStyle w:val="7"/>
                <w:highlight w:val="none"/>
              </w:rPr>
              <w:t>第三十五条</w:t>
            </w:r>
          </w:p>
          <w:p w14:paraId="61184815">
            <w:pPr>
              <w:pStyle w:val="4"/>
              <w:keepNext w:val="0"/>
              <w:keepLines w:val="0"/>
              <w:widowControl/>
              <w:suppressLineNumbers w:val="0"/>
              <w:ind w:left="0" w:firstLine="420"/>
              <w:jc w:val="both"/>
              <w:rPr>
                <w:highlight w:val="none"/>
              </w:rPr>
            </w:pPr>
            <w:r>
              <w:rPr>
                <w:highlight w:val="none"/>
              </w:rPr>
              <w:t>医疗卫生机构应当对临床研究实施全过程监管，定期组织开展核查。主要研究者应当对负责的临床研究定期自查，确保临床研究的顺利进行。</w:t>
            </w:r>
          </w:p>
        </w:tc>
        <w:tc>
          <w:tcPr>
            <w:tcW w:w="2594" w:type="pct"/>
            <w:tcBorders>
              <w:top w:val="nil"/>
              <w:left w:val="nil"/>
              <w:bottom w:val="nil"/>
              <w:right w:val="nil"/>
            </w:tcBorders>
            <w:shd w:val="clear" w:color="auto" w:fill="E1FFC8"/>
            <w:tcMar>
              <w:top w:w="0" w:type="dxa"/>
              <w:left w:w="0" w:type="dxa"/>
              <w:bottom w:w="0" w:type="dxa"/>
              <w:right w:w="0" w:type="dxa"/>
            </w:tcMar>
            <w:vAlign w:val="top"/>
          </w:tcPr>
          <w:p w14:paraId="5F857664">
            <w:pPr>
              <w:pStyle w:val="4"/>
              <w:keepNext w:val="0"/>
              <w:keepLines w:val="0"/>
              <w:widowControl/>
              <w:suppressLineNumbers w:val="0"/>
              <w:jc w:val="both"/>
              <w:rPr>
                <w:highlight w:val="none"/>
              </w:rPr>
            </w:pPr>
            <w:r>
              <w:rPr>
                <w:highlight w:val="none"/>
              </w:rPr>
              <w:t>第三十五条</w:t>
            </w:r>
          </w:p>
          <w:p w14:paraId="532252F0">
            <w:pPr>
              <w:pStyle w:val="4"/>
              <w:keepNext w:val="0"/>
              <w:keepLines w:val="0"/>
              <w:widowControl/>
              <w:suppressLineNumbers w:val="0"/>
              <w:ind w:left="0" w:firstLine="420"/>
              <w:jc w:val="both"/>
              <w:rPr>
                <w:highlight w:val="none"/>
              </w:rPr>
            </w:pPr>
            <w:r>
              <w:rPr>
                <w:highlight w:val="none"/>
              </w:rPr>
              <w:t>医疗卫生机构应当</w:t>
            </w:r>
            <w:r>
              <w:rPr>
                <w:color w:val="FF0000"/>
                <w:highlight w:val="none"/>
              </w:rPr>
              <w:t>对临床研究给予必要的人力、财力和其他资源方面的支持；同时</w:t>
            </w:r>
            <w:r>
              <w:rPr>
                <w:highlight w:val="none"/>
              </w:rPr>
              <w:t>对临床研究实施全过程监管，定期组织开展核查。主要研究者应当对负责的临床研究定期自查，确保临床研究的顺利进行。</w:t>
            </w:r>
          </w:p>
        </w:tc>
      </w:tr>
      <w:tr w14:paraId="338BE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362" w:type="pct"/>
            <w:tcBorders>
              <w:top w:val="nil"/>
              <w:left w:val="nil"/>
              <w:bottom w:val="nil"/>
              <w:right w:val="nil"/>
            </w:tcBorders>
            <w:shd w:val="clear" w:color="auto" w:fill="FAFFC8"/>
            <w:tcMar>
              <w:top w:w="0" w:type="dxa"/>
              <w:left w:w="0" w:type="dxa"/>
              <w:bottom w:w="0" w:type="dxa"/>
              <w:right w:w="0" w:type="dxa"/>
            </w:tcMar>
            <w:vAlign w:val="top"/>
          </w:tcPr>
          <w:p w14:paraId="056E6857">
            <w:pPr>
              <w:pStyle w:val="4"/>
              <w:keepNext w:val="0"/>
              <w:keepLines w:val="0"/>
              <w:widowControl/>
              <w:suppressLineNumbers w:val="0"/>
              <w:jc w:val="both"/>
              <w:rPr>
                <w:highlight w:val="none"/>
              </w:rPr>
            </w:pPr>
            <w:r>
              <w:rPr>
                <w:rStyle w:val="7"/>
                <w:highlight w:val="none"/>
              </w:rPr>
              <w:t>第三十六条</w:t>
            </w:r>
          </w:p>
          <w:p w14:paraId="7E33634F">
            <w:pPr>
              <w:pStyle w:val="4"/>
              <w:keepNext w:val="0"/>
              <w:keepLines w:val="0"/>
              <w:widowControl/>
              <w:suppressLineNumbers w:val="0"/>
              <w:ind w:left="0" w:firstLine="420"/>
              <w:jc w:val="both"/>
              <w:rPr>
                <w:highlight w:val="none"/>
              </w:rPr>
            </w:pPr>
            <w:r>
              <w:rPr>
                <w:highlight w:val="none"/>
              </w:rPr>
              <w:t>医疗卫生机构应当加强临床研究的安全性评价，制定并落实不良事件记录、报告和处理相关的规章制度和规范标准，根据不良事件的性质和严重程度及时作出继续、暂停或者终止已经批准的临床研究的决定，并妥善保障已经入组受试者的权益。</w:t>
            </w:r>
          </w:p>
        </w:tc>
        <w:tc>
          <w:tcPr>
            <w:tcW w:w="2594" w:type="pct"/>
            <w:tcBorders>
              <w:top w:val="nil"/>
              <w:left w:val="nil"/>
              <w:bottom w:val="nil"/>
              <w:right w:val="nil"/>
            </w:tcBorders>
            <w:shd w:val="clear" w:color="auto" w:fill="E1FFC8"/>
            <w:tcMar>
              <w:top w:w="0" w:type="dxa"/>
              <w:left w:w="0" w:type="dxa"/>
              <w:bottom w:w="0" w:type="dxa"/>
              <w:right w:w="0" w:type="dxa"/>
            </w:tcMar>
            <w:vAlign w:val="top"/>
          </w:tcPr>
          <w:p w14:paraId="7D9AA3C8">
            <w:pPr>
              <w:pStyle w:val="4"/>
              <w:keepNext w:val="0"/>
              <w:keepLines w:val="0"/>
              <w:widowControl/>
              <w:suppressLineNumbers w:val="0"/>
              <w:jc w:val="both"/>
              <w:rPr>
                <w:highlight w:val="none"/>
              </w:rPr>
            </w:pPr>
            <w:r>
              <w:rPr>
                <w:rStyle w:val="7"/>
                <w:highlight w:val="none"/>
              </w:rPr>
              <w:t>第三十六条</w:t>
            </w:r>
          </w:p>
          <w:p w14:paraId="66E13E32">
            <w:pPr>
              <w:pStyle w:val="4"/>
              <w:keepNext w:val="0"/>
              <w:keepLines w:val="0"/>
              <w:widowControl/>
              <w:suppressLineNumbers w:val="0"/>
              <w:ind w:left="0" w:firstLine="420"/>
              <w:jc w:val="both"/>
              <w:rPr>
                <w:highlight w:val="none"/>
              </w:rPr>
            </w:pPr>
            <w:r>
              <w:rPr>
                <w:highlight w:val="none"/>
              </w:rPr>
              <w:t>医疗卫生机构应当加强临床研究的安全性评价，制定并落实不良事件记录、报告和处理相关的规章制度和规范标准，根据不良事件的性质和严重程度及时作出继续、暂停或者终止已经批准的临床研究的决定，并妥善保障已经入组受试者的权益。</w:t>
            </w:r>
          </w:p>
        </w:tc>
      </w:tr>
      <w:tr w14:paraId="73260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362" w:type="pct"/>
            <w:tcBorders>
              <w:top w:val="nil"/>
              <w:left w:val="nil"/>
              <w:bottom w:val="nil"/>
              <w:right w:val="nil"/>
            </w:tcBorders>
            <w:shd w:val="clear" w:color="auto" w:fill="FAFFC8"/>
            <w:tcMar>
              <w:top w:w="0" w:type="dxa"/>
              <w:left w:w="0" w:type="dxa"/>
              <w:bottom w:w="0" w:type="dxa"/>
              <w:right w:w="0" w:type="dxa"/>
            </w:tcMar>
            <w:vAlign w:val="top"/>
          </w:tcPr>
          <w:p w14:paraId="60C2507B">
            <w:pPr>
              <w:pStyle w:val="4"/>
              <w:keepNext w:val="0"/>
              <w:keepLines w:val="0"/>
              <w:widowControl/>
              <w:suppressLineNumbers w:val="0"/>
              <w:jc w:val="both"/>
              <w:rPr>
                <w:highlight w:val="none"/>
              </w:rPr>
            </w:pPr>
            <w:r>
              <w:rPr>
                <w:rStyle w:val="7"/>
                <w:highlight w:val="none"/>
              </w:rPr>
              <w:t>第三十七条</w:t>
            </w:r>
          </w:p>
          <w:p w14:paraId="17D3B980">
            <w:pPr>
              <w:pStyle w:val="4"/>
              <w:keepNext w:val="0"/>
              <w:keepLines w:val="0"/>
              <w:widowControl/>
              <w:suppressLineNumbers w:val="0"/>
              <w:ind w:left="0" w:firstLine="420"/>
              <w:jc w:val="both"/>
              <w:rPr>
                <w:highlight w:val="none"/>
              </w:rPr>
            </w:pPr>
            <w:r>
              <w:rPr>
                <w:highlight w:val="none"/>
              </w:rPr>
              <w:t>医疗卫生机构应当建立受试者争议和投诉的处理机制，科学判定是否有损害及其产生的原因，合理划分责任，按照约定或有关管理规定，对受到损害的受试者进行合理的补偿或赔偿。</w:t>
            </w:r>
          </w:p>
          <w:p w14:paraId="14AFEBF1">
            <w:pPr>
              <w:pStyle w:val="4"/>
              <w:keepNext w:val="0"/>
              <w:keepLines w:val="0"/>
              <w:widowControl/>
              <w:suppressLineNumbers w:val="0"/>
              <w:ind w:left="0" w:firstLine="420"/>
              <w:jc w:val="both"/>
              <w:rPr>
                <w:highlight w:val="none"/>
              </w:rPr>
            </w:pPr>
            <w:r>
              <w:rPr>
                <w:highlight w:val="none"/>
              </w:rPr>
              <w:t>医疗卫生机构应当建立受试者和</w:t>
            </w:r>
            <w:r>
              <w:rPr>
                <w:rStyle w:val="7"/>
                <w:color w:val="A65BCB"/>
                <w:highlight w:val="none"/>
              </w:rPr>
              <w:t>研究对象</w:t>
            </w:r>
            <w:r>
              <w:rPr>
                <w:highlight w:val="none"/>
              </w:rPr>
              <w:t>损害风险预防、控制及财务保障机制。</w:t>
            </w:r>
          </w:p>
        </w:tc>
        <w:tc>
          <w:tcPr>
            <w:tcW w:w="2594" w:type="pct"/>
            <w:tcBorders>
              <w:top w:val="nil"/>
              <w:left w:val="nil"/>
              <w:bottom w:val="nil"/>
              <w:right w:val="nil"/>
            </w:tcBorders>
            <w:shd w:val="clear" w:color="auto" w:fill="E1FFC8"/>
            <w:tcMar>
              <w:top w:w="0" w:type="dxa"/>
              <w:left w:w="0" w:type="dxa"/>
              <w:bottom w:w="0" w:type="dxa"/>
              <w:right w:w="0" w:type="dxa"/>
            </w:tcMar>
            <w:vAlign w:val="top"/>
          </w:tcPr>
          <w:p w14:paraId="381F2D1F">
            <w:pPr>
              <w:pStyle w:val="4"/>
              <w:keepNext w:val="0"/>
              <w:keepLines w:val="0"/>
              <w:widowControl/>
              <w:suppressLineNumbers w:val="0"/>
              <w:jc w:val="both"/>
              <w:rPr>
                <w:highlight w:val="none"/>
              </w:rPr>
            </w:pPr>
            <w:r>
              <w:rPr>
                <w:rStyle w:val="7"/>
                <w:highlight w:val="none"/>
              </w:rPr>
              <w:t>第三十七条</w:t>
            </w:r>
          </w:p>
          <w:p w14:paraId="33FF0B78">
            <w:pPr>
              <w:pStyle w:val="4"/>
              <w:keepNext w:val="0"/>
              <w:keepLines w:val="0"/>
              <w:widowControl/>
              <w:suppressLineNumbers w:val="0"/>
              <w:ind w:left="0" w:firstLine="420"/>
              <w:jc w:val="both"/>
              <w:rPr>
                <w:highlight w:val="none"/>
              </w:rPr>
            </w:pPr>
            <w:r>
              <w:rPr>
                <w:highlight w:val="none"/>
              </w:rPr>
              <w:t>医疗卫生机构应当建立受试者争议和投诉的处理机制，科学判定是否有损害及其产生的原因，合理划分责任，按照约定或有关管理规定，对受到损害的受试者进行合理的补偿或赔偿。</w:t>
            </w:r>
          </w:p>
          <w:p w14:paraId="6385D8AD">
            <w:pPr>
              <w:pStyle w:val="4"/>
              <w:keepNext w:val="0"/>
              <w:keepLines w:val="0"/>
              <w:widowControl/>
              <w:suppressLineNumbers w:val="0"/>
              <w:ind w:left="0" w:firstLine="420"/>
              <w:jc w:val="both"/>
              <w:rPr>
                <w:highlight w:val="none"/>
              </w:rPr>
            </w:pPr>
            <w:r>
              <w:rPr>
                <w:highlight w:val="none"/>
              </w:rPr>
              <w:t>医疗卫生机构应当建立受试者和</w:t>
            </w:r>
            <w:r>
              <w:rPr>
                <w:rStyle w:val="7"/>
                <w:color w:val="FF0000"/>
                <w:highlight w:val="none"/>
              </w:rPr>
              <w:t>研究参与者</w:t>
            </w:r>
            <w:r>
              <w:rPr>
                <w:highlight w:val="none"/>
              </w:rPr>
              <w:t>损害风险预防、控制及财务保障机制。</w:t>
            </w:r>
          </w:p>
        </w:tc>
      </w:tr>
      <w:tr w14:paraId="03E72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362" w:type="pct"/>
            <w:tcBorders>
              <w:top w:val="nil"/>
              <w:left w:val="nil"/>
              <w:bottom w:val="nil"/>
              <w:right w:val="nil"/>
            </w:tcBorders>
            <w:shd w:val="clear" w:color="auto" w:fill="FAFFC8"/>
            <w:tcMar>
              <w:top w:w="0" w:type="dxa"/>
              <w:left w:w="0" w:type="dxa"/>
              <w:bottom w:w="0" w:type="dxa"/>
              <w:right w:w="0" w:type="dxa"/>
            </w:tcMar>
            <w:vAlign w:val="top"/>
          </w:tcPr>
          <w:p w14:paraId="502EBF0F">
            <w:pPr>
              <w:pStyle w:val="4"/>
              <w:keepNext w:val="0"/>
              <w:keepLines w:val="0"/>
              <w:widowControl/>
              <w:suppressLineNumbers w:val="0"/>
              <w:jc w:val="both"/>
              <w:rPr>
                <w:highlight w:val="none"/>
              </w:rPr>
            </w:pPr>
            <w:r>
              <w:rPr>
                <w:rStyle w:val="7"/>
                <w:highlight w:val="none"/>
              </w:rPr>
              <w:t>第三十八条</w:t>
            </w:r>
          </w:p>
          <w:p w14:paraId="76476AE1">
            <w:pPr>
              <w:pStyle w:val="4"/>
              <w:keepNext w:val="0"/>
              <w:keepLines w:val="0"/>
              <w:widowControl/>
              <w:suppressLineNumbers w:val="0"/>
              <w:ind w:left="0" w:firstLine="420"/>
              <w:jc w:val="both"/>
              <w:rPr>
                <w:highlight w:val="none"/>
              </w:rPr>
            </w:pPr>
            <w:r>
              <w:rPr>
                <w:highlight w:val="none"/>
              </w:rPr>
              <w:t>临床研究过程中出现如下情形之一的，在充分考虑受试者安全的前提下，医疗卫生机构应当暂停或者终止研究。</w:t>
            </w:r>
          </w:p>
          <w:p w14:paraId="77AEC2E9">
            <w:pPr>
              <w:pStyle w:val="4"/>
              <w:keepNext w:val="0"/>
              <w:keepLines w:val="0"/>
              <w:widowControl/>
              <w:suppressLineNumbers w:val="0"/>
              <w:ind w:left="0" w:firstLine="420"/>
              <w:jc w:val="both"/>
              <w:rPr>
                <w:highlight w:val="none"/>
              </w:rPr>
            </w:pPr>
            <w:r>
              <w:rPr>
                <w:highlight w:val="none"/>
              </w:rPr>
              <w:t>（一）存在违反法律法规、规章的行为； </w:t>
            </w:r>
          </w:p>
          <w:p w14:paraId="3BAA2F9A">
            <w:pPr>
              <w:pStyle w:val="4"/>
              <w:keepNext w:val="0"/>
              <w:keepLines w:val="0"/>
              <w:widowControl/>
              <w:suppressLineNumbers w:val="0"/>
              <w:ind w:left="0" w:firstLine="420"/>
              <w:jc w:val="both"/>
              <w:rPr>
                <w:highlight w:val="none"/>
              </w:rPr>
            </w:pPr>
            <w:r>
              <w:rPr>
                <w:highlight w:val="none"/>
              </w:rPr>
              <w:t>（二）存在违背伦理原则或科研诚信原则的行为；</w:t>
            </w:r>
          </w:p>
          <w:p w14:paraId="0CE73645">
            <w:pPr>
              <w:pStyle w:val="4"/>
              <w:keepNext w:val="0"/>
              <w:keepLines w:val="0"/>
              <w:widowControl/>
              <w:suppressLineNumbers w:val="0"/>
              <w:ind w:left="0" w:firstLine="420"/>
              <w:jc w:val="both"/>
              <w:rPr>
                <w:highlight w:val="none"/>
              </w:rPr>
            </w:pPr>
            <w:r>
              <w:rPr>
                <w:highlight w:val="none"/>
              </w:rPr>
              <w:t>（三）研究过程中发现相关药品、医疗器械可能存在严重质量缺陷； </w:t>
            </w:r>
          </w:p>
          <w:p w14:paraId="13923D3F">
            <w:pPr>
              <w:pStyle w:val="4"/>
              <w:keepNext w:val="0"/>
              <w:keepLines w:val="0"/>
              <w:widowControl/>
              <w:suppressLineNumbers w:val="0"/>
              <w:ind w:left="0" w:firstLine="420"/>
              <w:jc w:val="both"/>
              <w:rPr>
                <w:highlight w:val="none"/>
              </w:rPr>
            </w:pPr>
            <w:r>
              <w:rPr>
                <w:highlight w:val="none"/>
              </w:rPr>
              <w:t>（四）发现临床研究存在严重安全风险；</w:t>
            </w:r>
          </w:p>
          <w:p w14:paraId="1B1C0655">
            <w:pPr>
              <w:pStyle w:val="4"/>
              <w:keepNext w:val="0"/>
              <w:keepLines w:val="0"/>
              <w:widowControl/>
              <w:suppressLineNumbers w:val="0"/>
              <w:ind w:left="0" w:firstLine="420"/>
              <w:jc w:val="both"/>
              <w:rPr>
                <w:highlight w:val="none"/>
              </w:rPr>
            </w:pPr>
            <w:r>
              <w:rPr>
                <w:highlight w:val="none"/>
              </w:rPr>
              <w:t>（五）存在商业贿赂或其他不当利益关系；</w:t>
            </w:r>
          </w:p>
          <w:p w14:paraId="1B34FA7D">
            <w:pPr>
              <w:pStyle w:val="4"/>
              <w:keepNext w:val="0"/>
              <w:keepLines w:val="0"/>
              <w:widowControl/>
              <w:suppressLineNumbers w:val="0"/>
              <w:ind w:left="0" w:firstLine="420"/>
              <w:jc w:val="both"/>
              <w:rPr>
                <w:highlight w:val="none"/>
              </w:rPr>
            </w:pPr>
            <w:r>
              <w:rPr>
                <w:highlight w:val="none"/>
              </w:rPr>
              <w:t>（六）违规使用研究经费的行为。</w:t>
            </w:r>
          </w:p>
        </w:tc>
        <w:tc>
          <w:tcPr>
            <w:tcW w:w="2594" w:type="pct"/>
            <w:tcBorders>
              <w:top w:val="nil"/>
              <w:left w:val="nil"/>
              <w:bottom w:val="nil"/>
              <w:right w:val="nil"/>
            </w:tcBorders>
            <w:shd w:val="clear" w:color="auto" w:fill="E1FFC8"/>
            <w:tcMar>
              <w:top w:w="0" w:type="dxa"/>
              <w:left w:w="0" w:type="dxa"/>
              <w:bottom w:w="0" w:type="dxa"/>
              <w:right w:w="0" w:type="dxa"/>
            </w:tcMar>
            <w:vAlign w:val="top"/>
          </w:tcPr>
          <w:p w14:paraId="41AD8543">
            <w:pPr>
              <w:pStyle w:val="4"/>
              <w:keepNext w:val="0"/>
              <w:keepLines w:val="0"/>
              <w:widowControl/>
              <w:suppressLineNumbers w:val="0"/>
              <w:jc w:val="both"/>
              <w:rPr>
                <w:highlight w:val="none"/>
              </w:rPr>
            </w:pPr>
            <w:r>
              <w:rPr>
                <w:rStyle w:val="7"/>
                <w:highlight w:val="none"/>
              </w:rPr>
              <w:t>第三十八条</w:t>
            </w:r>
          </w:p>
          <w:p w14:paraId="2EC9B922">
            <w:pPr>
              <w:pStyle w:val="4"/>
              <w:keepNext w:val="0"/>
              <w:keepLines w:val="0"/>
              <w:widowControl/>
              <w:suppressLineNumbers w:val="0"/>
              <w:ind w:left="0" w:firstLine="420"/>
              <w:jc w:val="both"/>
              <w:rPr>
                <w:highlight w:val="none"/>
              </w:rPr>
            </w:pPr>
            <w:r>
              <w:rPr>
                <w:highlight w:val="none"/>
              </w:rPr>
              <w:t>临床研究过程中出现如下情形之一的，在充分考虑受试者安全的前提下，医疗卫生机构应当暂停或者终止研究。</w:t>
            </w:r>
          </w:p>
          <w:p w14:paraId="31CF73CB">
            <w:pPr>
              <w:pStyle w:val="4"/>
              <w:keepNext w:val="0"/>
              <w:keepLines w:val="0"/>
              <w:widowControl/>
              <w:suppressLineNumbers w:val="0"/>
              <w:ind w:left="0" w:firstLine="420"/>
              <w:jc w:val="both"/>
              <w:rPr>
                <w:highlight w:val="none"/>
              </w:rPr>
            </w:pPr>
            <w:r>
              <w:rPr>
                <w:highlight w:val="none"/>
              </w:rPr>
              <w:t>(一)存在违反法律法规、规章的行为；</w:t>
            </w:r>
          </w:p>
          <w:p w14:paraId="5A0E27DB">
            <w:pPr>
              <w:pStyle w:val="4"/>
              <w:keepNext w:val="0"/>
              <w:keepLines w:val="0"/>
              <w:widowControl/>
              <w:suppressLineNumbers w:val="0"/>
              <w:ind w:left="0" w:firstLine="420"/>
              <w:jc w:val="both"/>
              <w:rPr>
                <w:highlight w:val="none"/>
              </w:rPr>
            </w:pPr>
            <w:r>
              <w:rPr>
                <w:highlight w:val="none"/>
              </w:rPr>
              <w:t>(二)存在违背伦理原则或科研诚信原则的行为；</w:t>
            </w:r>
          </w:p>
          <w:p w14:paraId="2E608873">
            <w:pPr>
              <w:pStyle w:val="4"/>
              <w:keepNext w:val="0"/>
              <w:keepLines w:val="0"/>
              <w:widowControl/>
              <w:suppressLineNumbers w:val="0"/>
              <w:ind w:left="0" w:firstLine="420"/>
              <w:jc w:val="both"/>
              <w:rPr>
                <w:highlight w:val="none"/>
              </w:rPr>
            </w:pPr>
            <w:r>
              <w:rPr>
                <w:highlight w:val="none"/>
              </w:rPr>
              <w:t>(三)研究过程中发现相关药品、医疗器械可能存在严重质量缺陷；</w:t>
            </w:r>
          </w:p>
          <w:p w14:paraId="1E08B257">
            <w:pPr>
              <w:pStyle w:val="4"/>
              <w:keepNext w:val="0"/>
              <w:keepLines w:val="0"/>
              <w:widowControl/>
              <w:suppressLineNumbers w:val="0"/>
              <w:ind w:left="0" w:firstLine="420"/>
              <w:jc w:val="both"/>
              <w:rPr>
                <w:highlight w:val="none"/>
              </w:rPr>
            </w:pPr>
            <w:r>
              <w:rPr>
                <w:highlight w:val="none"/>
              </w:rPr>
              <w:t>(四)发现临床研究存在严重安全风险；</w:t>
            </w:r>
          </w:p>
          <w:p w14:paraId="5C339E1F">
            <w:pPr>
              <w:pStyle w:val="4"/>
              <w:keepNext w:val="0"/>
              <w:keepLines w:val="0"/>
              <w:widowControl/>
              <w:suppressLineNumbers w:val="0"/>
              <w:ind w:left="0" w:firstLine="420"/>
              <w:jc w:val="both"/>
              <w:rPr>
                <w:highlight w:val="none"/>
              </w:rPr>
            </w:pPr>
            <w:r>
              <w:rPr>
                <w:highlight w:val="none"/>
              </w:rPr>
              <w:t>(五)存在商业贿赂或其他不当利益关系；</w:t>
            </w:r>
          </w:p>
          <w:p w14:paraId="352FAF56">
            <w:pPr>
              <w:pStyle w:val="4"/>
              <w:keepNext w:val="0"/>
              <w:keepLines w:val="0"/>
              <w:widowControl/>
              <w:suppressLineNumbers w:val="0"/>
              <w:ind w:left="0" w:firstLine="420"/>
              <w:jc w:val="both"/>
              <w:rPr>
                <w:highlight w:val="none"/>
              </w:rPr>
            </w:pPr>
            <w:r>
              <w:rPr>
                <w:highlight w:val="none"/>
              </w:rPr>
              <w:t>(六)违规使用研究经费的行为。</w:t>
            </w:r>
          </w:p>
        </w:tc>
      </w:tr>
      <w:tr w14:paraId="0C28E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362" w:type="pct"/>
            <w:tcBorders>
              <w:top w:val="nil"/>
              <w:left w:val="nil"/>
              <w:bottom w:val="nil"/>
              <w:right w:val="nil"/>
            </w:tcBorders>
            <w:shd w:val="clear" w:color="auto" w:fill="FAFFC8"/>
            <w:tcMar>
              <w:top w:w="0" w:type="dxa"/>
              <w:left w:w="0" w:type="dxa"/>
              <w:bottom w:w="0" w:type="dxa"/>
              <w:right w:w="0" w:type="dxa"/>
            </w:tcMar>
            <w:vAlign w:val="top"/>
          </w:tcPr>
          <w:p w14:paraId="2F7AB5D8">
            <w:pPr>
              <w:pStyle w:val="4"/>
              <w:keepNext w:val="0"/>
              <w:keepLines w:val="0"/>
              <w:widowControl/>
              <w:suppressLineNumbers w:val="0"/>
              <w:jc w:val="both"/>
              <w:rPr>
                <w:highlight w:val="none"/>
              </w:rPr>
            </w:pPr>
            <w:r>
              <w:rPr>
                <w:rStyle w:val="7"/>
                <w:highlight w:val="none"/>
              </w:rPr>
              <w:t>第三十九条</w:t>
            </w:r>
          </w:p>
          <w:p w14:paraId="4FF82445">
            <w:pPr>
              <w:pStyle w:val="4"/>
              <w:keepNext w:val="0"/>
              <w:keepLines w:val="0"/>
              <w:widowControl/>
              <w:suppressLineNumbers w:val="0"/>
              <w:ind w:left="0" w:firstLine="420"/>
              <w:jc w:val="both"/>
              <w:rPr>
                <w:highlight w:val="none"/>
              </w:rPr>
            </w:pPr>
            <w:r>
              <w:rPr>
                <w:highlight w:val="none"/>
              </w:rPr>
              <w:t>医疗卫生机构应当建立临床研究源数据的管理体系，</w:t>
            </w:r>
            <w:r>
              <w:rPr>
                <w:rStyle w:val="7"/>
                <w:color w:val="A65BCB"/>
                <w:highlight w:val="none"/>
              </w:rPr>
              <w:t>实现</w:t>
            </w:r>
            <w:r>
              <w:rPr>
                <w:highlight w:val="none"/>
              </w:rPr>
              <w:t>集中统一存储，保障临床研究数据在收集、记录、修改、</w:t>
            </w:r>
            <w:r>
              <w:rPr>
                <w:rStyle w:val="7"/>
                <w:color w:val="A65BCB"/>
                <w:highlight w:val="none"/>
              </w:rPr>
              <w:t>处理和保存过程中</w:t>
            </w:r>
            <w:r>
              <w:rPr>
                <w:highlight w:val="none"/>
              </w:rPr>
              <w:t>的真实性、准确性、完整性、规范性、保密性， 确保数据可查询、可溯源。</w:t>
            </w:r>
          </w:p>
        </w:tc>
        <w:tc>
          <w:tcPr>
            <w:tcW w:w="2594" w:type="pct"/>
            <w:tcBorders>
              <w:top w:val="nil"/>
              <w:left w:val="nil"/>
              <w:bottom w:val="nil"/>
              <w:right w:val="nil"/>
            </w:tcBorders>
            <w:shd w:val="clear" w:color="auto" w:fill="E1FFC8"/>
            <w:tcMar>
              <w:top w:w="0" w:type="dxa"/>
              <w:left w:w="0" w:type="dxa"/>
              <w:bottom w:w="0" w:type="dxa"/>
              <w:right w:w="0" w:type="dxa"/>
            </w:tcMar>
            <w:vAlign w:val="top"/>
          </w:tcPr>
          <w:p w14:paraId="25A917D6">
            <w:pPr>
              <w:pStyle w:val="4"/>
              <w:keepNext w:val="0"/>
              <w:keepLines w:val="0"/>
              <w:widowControl/>
              <w:suppressLineNumbers w:val="0"/>
              <w:jc w:val="both"/>
              <w:rPr>
                <w:highlight w:val="none"/>
              </w:rPr>
            </w:pPr>
            <w:r>
              <w:rPr>
                <w:highlight w:val="none"/>
              </w:rPr>
              <w:t>第三十九条</w:t>
            </w:r>
          </w:p>
          <w:p w14:paraId="60809333">
            <w:pPr>
              <w:pStyle w:val="4"/>
              <w:keepNext w:val="0"/>
              <w:keepLines w:val="0"/>
              <w:widowControl/>
              <w:suppressLineNumbers w:val="0"/>
              <w:ind w:left="0" w:firstLine="420"/>
              <w:jc w:val="both"/>
              <w:rPr>
                <w:highlight w:val="none"/>
              </w:rPr>
            </w:pPr>
            <w:r>
              <w:rPr>
                <w:highlight w:val="none"/>
              </w:rPr>
              <w:t>医疗卫生机构应当建立临床研究源数据的管理体系，</w:t>
            </w:r>
            <w:r>
              <w:rPr>
                <w:color w:val="FF0000"/>
                <w:highlight w:val="none"/>
              </w:rPr>
              <w:t>鼓励</w:t>
            </w:r>
            <w:r>
              <w:rPr>
                <w:highlight w:val="none"/>
              </w:rPr>
              <w:t>集中统一存储，保障临床研究数据在收集、记录、修改、</w:t>
            </w:r>
            <w:r>
              <w:rPr>
                <w:color w:val="FF0000"/>
                <w:highlight w:val="none"/>
              </w:rPr>
              <w:t>存储、传输、使用和销毁等全生命周期</w:t>
            </w:r>
            <w:r>
              <w:rPr>
                <w:highlight w:val="none"/>
              </w:rPr>
              <w:t>的真实性、准确性、完整性、规范性、保密性，确保数据可查询、可溯源。</w:t>
            </w:r>
          </w:p>
        </w:tc>
      </w:tr>
      <w:tr w14:paraId="480C9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362" w:type="pct"/>
            <w:tcBorders>
              <w:top w:val="nil"/>
              <w:left w:val="nil"/>
              <w:bottom w:val="nil"/>
              <w:right w:val="nil"/>
            </w:tcBorders>
            <w:shd w:val="clear" w:color="auto" w:fill="FAFFC8"/>
            <w:tcMar>
              <w:top w:w="0" w:type="dxa"/>
              <w:left w:w="0" w:type="dxa"/>
              <w:bottom w:w="0" w:type="dxa"/>
              <w:right w:w="0" w:type="dxa"/>
            </w:tcMar>
            <w:vAlign w:val="top"/>
          </w:tcPr>
          <w:p w14:paraId="79B3B4FE">
            <w:pPr>
              <w:pStyle w:val="4"/>
              <w:keepNext w:val="0"/>
              <w:keepLines w:val="0"/>
              <w:widowControl/>
              <w:suppressLineNumbers w:val="0"/>
              <w:jc w:val="both"/>
              <w:rPr>
                <w:highlight w:val="none"/>
              </w:rPr>
            </w:pPr>
            <w:r>
              <w:rPr>
                <w:rStyle w:val="7"/>
                <w:highlight w:val="none"/>
              </w:rPr>
              <w:t>第四十条</w:t>
            </w:r>
          </w:p>
          <w:p w14:paraId="7C4C2D49">
            <w:pPr>
              <w:pStyle w:val="4"/>
              <w:keepNext w:val="0"/>
              <w:keepLines w:val="0"/>
              <w:widowControl/>
              <w:suppressLineNumbers w:val="0"/>
              <w:ind w:left="0" w:firstLine="420"/>
              <w:jc w:val="both"/>
              <w:rPr>
                <w:highlight w:val="none"/>
              </w:rPr>
            </w:pPr>
            <w:r>
              <w:rPr>
                <w:highlight w:val="none"/>
              </w:rPr>
              <w:t>医疗卫生机构应当加强临床研究档案管理，如实记录并妥善保管相关文书档案。自研究结束之日起，档案保存年限不少于 10 年。在确保安全的前提下，可以实行电子归档。</w:t>
            </w:r>
          </w:p>
        </w:tc>
        <w:tc>
          <w:tcPr>
            <w:tcW w:w="2594" w:type="pct"/>
            <w:tcBorders>
              <w:top w:val="nil"/>
              <w:left w:val="nil"/>
              <w:bottom w:val="nil"/>
              <w:right w:val="nil"/>
            </w:tcBorders>
            <w:shd w:val="clear" w:color="auto" w:fill="E1FFC8"/>
            <w:tcMar>
              <w:top w:w="0" w:type="dxa"/>
              <w:left w:w="0" w:type="dxa"/>
              <w:bottom w:w="0" w:type="dxa"/>
              <w:right w:w="0" w:type="dxa"/>
            </w:tcMar>
            <w:vAlign w:val="top"/>
          </w:tcPr>
          <w:p w14:paraId="5293CEC5">
            <w:pPr>
              <w:pStyle w:val="4"/>
              <w:keepNext w:val="0"/>
              <w:keepLines w:val="0"/>
              <w:widowControl/>
              <w:suppressLineNumbers w:val="0"/>
              <w:jc w:val="both"/>
              <w:rPr>
                <w:highlight w:val="none"/>
              </w:rPr>
            </w:pPr>
            <w:r>
              <w:rPr>
                <w:rStyle w:val="7"/>
                <w:highlight w:val="none"/>
              </w:rPr>
              <w:t>第四十条</w:t>
            </w:r>
          </w:p>
          <w:p w14:paraId="30156C6F">
            <w:pPr>
              <w:pStyle w:val="4"/>
              <w:keepNext w:val="0"/>
              <w:keepLines w:val="0"/>
              <w:widowControl/>
              <w:suppressLineNumbers w:val="0"/>
              <w:ind w:left="0" w:firstLine="420"/>
              <w:jc w:val="both"/>
              <w:rPr>
                <w:highlight w:val="none"/>
              </w:rPr>
            </w:pPr>
            <w:r>
              <w:rPr>
                <w:highlight w:val="none"/>
              </w:rPr>
              <w:t>医疗卫生机构应当加强临床研究档案管理，如实记录并妥善保管相关档案。自研究结束之日起，档案保存年限不少于10年。在确保安全的前提下，可以实行电子归档。</w:t>
            </w:r>
          </w:p>
        </w:tc>
      </w:tr>
      <w:tr w14:paraId="6FE03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362" w:type="pct"/>
            <w:tcBorders>
              <w:top w:val="nil"/>
              <w:left w:val="nil"/>
              <w:bottom w:val="nil"/>
              <w:right w:val="nil"/>
            </w:tcBorders>
            <w:shd w:val="clear" w:color="auto" w:fill="FAFFC8"/>
            <w:tcMar>
              <w:top w:w="0" w:type="dxa"/>
              <w:left w:w="0" w:type="dxa"/>
              <w:bottom w:w="0" w:type="dxa"/>
              <w:right w:w="0" w:type="dxa"/>
            </w:tcMar>
            <w:vAlign w:val="top"/>
          </w:tcPr>
          <w:p w14:paraId="2CC90357">
            <w:pPr>
              <w:pStyle w:val="4"/>
              <w:keepNext w:val="0"/>
              <w:keepLines w:val="0"/>
              <w:widowControl/>
              <w:suppressLineNumbers w:val="0"/>
              <w:jc w:val="both"/>
              <w:rPr>
                <w:highlight w:val="none"/>
              </w:rPr>
            </w:pPr>
            <w:r>
              <w:rPr>
                <w:rStyle w:val="7"/>
                <w:highlight w:val="none"/>
              </w:rPr>
              <w:t>第四十一条</w:t>
            </w:r>
          </w:p>
          <w:p w14:paraId="763469BA">
            <w:pPr>
              <w:pStyle w:val="4"/>
              <w:keepNext w:val="0"/>
              <w:keepLines w:val="0"/>
              <w:widowControl/>
              <w:suppressLineNumbers w:val="0"/>
              <w:ind w:left="0" w:firstLine="420"/>
              <w:jc w:val="both"/>
              <w:rPr>
                <w:highlight w:val="none"/>
              </w:rPr>
            </w:pPr>
            <w:r>
              <w:rPr>
                <w:highlight w:val="none"/>
              </w:rPr>
              <w:t>临床研究发生启动、方案调整、暂停、终止、完成等情形时， 医疗卫生机构和研究者应当在系统及时更新临床研究信息。</w:t>
            </w:r>
          </w:p>
        </w:tc>
        <w:tc>
          <w:tcPr>
            <w:tcW w:w="2594" w:type="pct"/>
            <w:tcBorders>
              <w:top w:val="nil"/>
              <w:left w:val="nil"/>
              <w:bottom w:val="nil"/>
              <w:right w:val="nil"/>
            </w:tcBorders>
            <w:shd w:val="clear" w:color="auto" w:fill="E1FFC8"/>
            <w:tcMar>
              <w:top w:w="0" w:type="dxa"/>
              <w:left w:w="0" w:type="dxa"/>
              <w:bottom w:w="0" w:type="dxa"/>
              <w:right w:w="0" w:type="dxa"/>
            </w:tcMar>
            <w:vAlign w:val="top"/>
          </w:tcPr>
          <w:p w14:paraId="35549C42">
            <w:pPr>
              <w:pStyle w:val="4"/>
              <w:keepNext w:val="0"/>
              <w:keepLines w:val="0"/>
              <w:widowControl/>
              <w:suppressLineNumbers w:val="0"/>
              <w:jc w:val="both"/>
              <w:rPr>
                <w:highlight w:val="none"/>
              </w:rPr>
            </w:pPr>
            <w:r>
              <w:rPr>
                <w:rStyle w:val="7"/>
                <w:highlight w:val="none"/>
              </w:rPr>
              <w:t>第四十一条</w:t>
            </w:r>
          </w:p>
          <w:p w14:paraId="24CAE1BA">
            <w:pPr>
              <w:pStyle w:val="4"/>
              <w:keepNext w:val="0"/>
              <w:keepLines w:val="0"/>
              <w:widowControl/>
              <w:suppressLineNumbers w:val="0"/>
              <w:ind w:left="0" w:firstLine="420"/>
              <w:jc w:val="both"/>
              <w:rPr>
                <w:highlight w:val="none"/>
              </w:rPr>
            </w:pPr>
            <w:r>
              <w:rPr>
                <w:highlight w:val="none"/>
              </w:rPr>
              <w:t>临床研究发生启动、方案调整、暂停、终止、完成等情形时，医疗卫生机构和研究者应当在系统及时更新临床研究信息。</w:t>
            </w:r>
          </w:p>
        </w:tc>
      </w:tr>
      <w:tr w14:paraId="0E7EC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362" w:type="pct"/>
            <w:tcBorders>
              <w:top w:val="nil"/>
              <w:left w:val="nil"/>
              <w:bottom w:val="nil"/>
              <w:right w:val="nil"/>
            </w:tcBorders>
            <w:shd w:val="clear" w:color="auto" w:fill="FAFFC8"/>
            <w:tcMar>
              <w:top w:w="0" w:type="dxa"/>
              <w:left w:w="0" w:type="dxa"/>
              <w:bottom w:w="0" w:type="dxa"/>
              <w:right w:w="0" w:type="dxa"/>
            </w:tcMar>
            <w:vAlign w:val="top"/>
          </w:tcPr>
          <w:p w14:paraId="2DF3B491">
            <w:pPr>
              <w:pStyle w:val="4"/>
              <w:keepNext w:val="0"/>
              <w:keepLines w:val="0"/>
              <w:widowControl/>
              <w:suppressLineNumbers w:val="0"/>
              <w:jc w:val="both"/>
              <w:rPr>
                <w:highlight w:val="none"/>
              </w:rPr>
            </w:pPr>
            <w:r>
              <w:rPr>
                <w:rStyle w:val="7"/>
                <w:highlight w:val="none"/>
              </w:rPr>
              <w:t>第四十二条</w:t>
            </w:r>
          </w:p>
          <w:p w14:paraId="0F32F1E5">
            <w:pPr>
              <w:pStyle w:val="4"/>
              <w:keepNext w:val="0"/>
              <w:keepLines w:val="0"/>
              <w:widowControl/>
              <w:suppressLineNumbers w:val="0"/>
              <w:ind w:left="0" w:firstLine="420"/>
              <w:jc w:val="both"/>
              <w:rPr>
                <w:highlight w:val="none"/>
              </w:rPr>
            </w:pPr>
            <w:r>
              <w:rPr>
                <w:highlight w:val="none"/>
              </w:rPr>
              <w:t>临床研究实行结项报告制度。临床研究终止或完成时，研究者应当及时分析研究结果，形成全面、客观、准确的研究报告。</w:t>
            </w:r>
          </w:p>
          <w:p w14:paraId="6019B40F">
            <w:pPr>
              <w:pStyle w:val="4"/>
              <w:keepNext w:val="0"/>
              <w:keepLines w:val="0"/>
              <w:widowControl/>
              <w:suppressLineNumbers w:val="0"/>
              <w:ind w:left="0" w:firstLine="420"/>
              <w:jc w:val="both"/>
              <w:rPr>
                <w:highlight w:val="none"/>
              </w:rPr>
            </w:pPr>
            <w:r>
              <w:rPr>
                <w:highlight w:val="none"/>
              </w:rPr>
              <w:t>临床研究管理部门应当对研究报告进行审核， 并对该临床研究结项。</w:t>
            </w:r>
          </w:p>
          <w:p w14:paraId="0DB9C9DC">
            <w:pPr>
              <w:pStyle w:val="4"/>
              <w:keepNext w:val="0"/>
              <w:keepLines w:val="0"/>
              <w:widowControl/>
              <w:suppressLineNumbers w:val="0"/>
              <w:ind w:left="0" w:firstLine="420"/>
              <w:jc w:val="both"/>
              <w:rPr>
                <w:highlight w:val="none"/>
              </w:rPr>
            </w:pPr>
            <w:r>
              <w:rPr>
                <w:highlight w:val="none"/>
              </w:rPr>
              <w:t>结项后的研究报告应当在系统上传，并向同行公开，加强学术交流。</w:t>
            </w:r>
          </w:p>
        </w:tc>
        <w:tc>
          <w:tcPr>
            <w:tcW w:w="2594" w:type="pct"/>
            <w:tcBorders>
              <w:top w:val="nil"/>
              <w:left w:val="nil"/>
              <w:bottom w:val="nil"/>
              <w:right w:val="nil"/>
            </w:tcBorders>
            <w:shd w:val="clear" w:color="auto" w:fill="E1FFC8"/>
            <w:tcMar>
              <w:top w:w="0" w:type="dxa"/>
              <w:left w:w="0" w:type="dxa"/>
              <w:bottom w:w="0" w:type="dxa"/>
              <w:right w:w="0" w:type="dxa"/>
            </w:tcMar>
            <w:vAlign w:val="top"/>
          </w:tcPr>
          <w:p w14:paraId="041E6990">
            <w:pPr>
              <w:pStyle w:val="4"/>
              <w:keepNext w:val="0"/>
              <w:keepLines w:val="0"/>
              <w:widowControl/>
              <w:suppressLineNumbers w:val="0"/>
              <w:jc w:val="both"/>
              <w:rPr>
                <w:highlight w:val="none"/>
              </w:rPr>
            </w:pPr>
            <w:r>
              <w:rPr>
                <w:rStyle w:val="7"/>
                <w:highlight w:val="none"/>
              </w:rPr>
              <w:t>第四十二条</w:t>
            </w:r>
          </w:p>
          <w:p w14:paraId="3EA36038">
            <w:pPr>
              <w:pStyle w:val="4"/>
              <w:keepNext w:val="0"/>
              <w:keepLines w:val="0"/>
              <w:widowControl/>
              <w:suppressLineNumbers w:val="0"/>
              <w:ind w:left="0" w:firstLine="420"/>
              <w:jc w:val="both"/>
              <w:rPr>
                <w:highlight w:val="none"/>
              </w:rPr>
            </w:pPr>
            <w:r>
              <w:rPr>
                <w:highlight w:val="none"/>
              </w:rPr>
              <w:t>临床研究实行结项报告制度。临床研究终止或完成时，研究者应当及时分析研究结果，形成全面、客观、准确的研究报告，</w:t>
            </w:r>
            <w:r>
              <w:rPr>
                <w:color w:val="FF0000"/>
                <w:highlight w:val="none"/>
              </w:rPr>
              <w:t>并如实声明利益冲突情况。</w:t>
            </w:r>
          </w:p>
          <w:p w14:paraId="0EA72A47">
            <w:pPr>
              <w:pStyle w:val="4"/>
              <w:keepNext w:val="0"/>
              <w:keepLines w:val="0"/>
              <w:widowControl/>
              <w:suppressLineNumbers w:val="0"/>
              <w:ind w:left="0" w:firstLine="420"/>
              <w:jc w:val="both"/>
              <w:rPr>
                <w:highlight w:val="none"/>
              </w:rPr>
            </w:pPr>
            <w:r>
              <w:rPr>
                <w:highlight w:val="none"/>
              </w:rPr>
              <w:t>临床研究管理部门应当对研究报告进行审核，并对该临床研究结项。</w:t>
            </w:r>
          </w:p>
          <w:p w14:paraId="406C4175">
            <w:pPr>
              <w:pStyle w:val="4"/>
              <w:keepNext w:val="0"/>
              <w:keepLines w:val="0"/>
              <w:widowControl/>
              <w:suppressLineNumbers w:val="0"/>
              <w:ind w:left="0" w:firstLine="420"/>
              <w:jc w:val="both"/>
              <w:rPr>
                <w:highlight w:val="none"/>
              </w:rPr>
            </w:pPr>
            <w:r>
              <w:rPr>
                <w:highlight w:val="none"/>
              </w:rPr>
              <w:t>结项后的研究报告应当在系统上传，并向同行公开，加强学术交流。</w:t>
            </w:r>
          </w:p>
        </w:tc>
      </w:tr>
      <w:tr w14:paraId="597A4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362" w:type="pct"/>
            <w:tcBorders>
              <w:top w:val="nil"/>
              <w:left w:val="nil"/>
              <w:bottom w:val="nil"/>
              <w:right w:val="nil"/>
            </w:tcBorders>
            <w:shd w:val="clear" w:color="auto" w:fill="FAFFC8"/>
            <w:tcMar>
              <w:top w:w="0" w:type="dxa"/>
              <w:left w:w="0" w:type="dxa"/>
              <w:bottom w:w="0" w:type="dxa"/>
              <w:right w:w="0" w:type="dxa"/>
            </w:tcMar>
            <w:vAlign w:val="top"/>
          </w:tcPr>
          <w:p w14:paraId="120EBD76">
            <w:pPr>
              <w:pStyle w:val="4"/>
              <w:keepNext w:val="0"/>
              <w:keepLines w:val="0"/>
              <w:widowControl/>
              <w:suppressLineNumbers w:val="0"/>
              <w:rPr>
                <w:highlight w:val="none"/>
              </w:rPr>
            </w:pPr>
            <w:r>
              <w:rPr>
                <w:rStyle w:val="7"/>
                <w:highlight w:val="none"/>
              </w:rPr>
              <w:t>第七章  监督管理</w:t>
            </w:r>
          </w:p>
        </w:tc>
        <w:tc>
          <w:tcPr>
            <w:tcW w:w="2594" w:type="pct"/>
            <w:tcBorders>
              <w:top w:val="nil"/>
              <w:left w:val="nil"/>
              <w:bottom w:val="nil"/>
              <w:right w:val="nil"/>
            </w:tcBorders>
            <w:shd w:val="clear" w:color="auto" w:fill="E1FFC8"/>
            <w:tcMar>
              <w:top w:w="0" w:type="dxa"/>
              <w:left w:w="0" w:type="dxa"/>
              <w:bottom w:w="0" w:type="dxa"/>
              <w:right w:w="0" w:type="dxa"/>
            </w:tcMar>
            <w:vAlign w:val="top"/>
          </w:tcPr>
          <w:p w14:paraId="457347A4">
            <w:pPr>
              <w:pStyle w:val="4"/>
              <w:keepNext w:val="0"/>
              <w:keepLines w:val="0"/>
              <w:widowControl/>
              <w:suppressLineNumbers w:val="0"/>
              <w:rPr>
                <w:highlight w:val="none"/>
              </w:rPr>
            </w:pPr>
            <w:r>
              <w:rPr>
                <w:rStyle w:val="7"/>
                <w:highlight w:val="none"/>
              </w:rPr>
              <w:t>第七章  监督管理</w:t>
            </w:r>
          </w:p>
        </w:tc>
      </w:tr>
      <w:tr w14:paraId="27F0E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362" w:type="pct"/>
            <w:tcBorders>
              <w:top w:val="nil"/>
              <w:left w:val="nil"/>
              <w:bottom w:val="nil"/>
              <w:right w:val="nil"/>
            </w:tcBorders>
            <w:shd w:val="clear" w:color="auto" w:fill="FAFFC8"/>
            <w:tcMar>
              <w:top w:w="0" w:type="dxa"/>
              <w:left w:w="0" w:type="dxa"/>
              <w:bottom w:w="0" w:type="dxa"/>
              <w:right w:w="0" w:type="dxa"/>
            </w:tcMar>
            <w:vAlign w:val="top"/>
          </w:tcPr>
          <w:p w14:paraId="323099AE">
            <w:pPr>
              <w:pStyle w:val="4"/>
              <w:keepNext w:val="0"/>
              <w:keepLines w:val="0"/>
              <w:widowControl/>
              <w:suppressLineNumbers w:val="0"/>
              <w:jc w:val="both"/>
              <w:rPr>
                <w:highlight w:val="none"/>
              </w:rPr>
            </w:pPr>
            <w:r>
              <w:rPr>
                <w:rStyle w:val="7"/>
                <w:highlight w:val="none"/>
              </w:rPr>
              <w:t>第四十三条</w:t>
            </w:r>
          </w:p>
          <w:p w14:paraId="17DC1D0B">
            <w:pPr>
              <w:pStyle w:val="4"/>
              <w:keepNext w:val="0"/>
              <w:keepLines w:val="0"/>
              <w:widowControl/>
              <w:suppressLineNumbers w:val="0"/>
              <w:ind w:left="0" w:firstLine="420"/>
              <w:jc w:val="both"/>
              <w:rPr>
                <w:highlight w:val="none"/>
              </w:rPr>
            </w:pPr>
            <w:r>
              <w:rPr>
                <w:highlight w:val="none"/>
              </w:rPr>
              <w:t>省级卫生健康行政部门应当依托系统加强辖区内临床研究的监测、评估、分析，实施监督管理。跨省域开展的临床研究的监督管理，由牵头医疗卫生机构所在地省级卫生健康行政部门牵头实施，参与医疗卫生机构所在地省级卫生健康行政部门配合实施。</w:t>
            </w:r>
          </w:p>
          <w:p w14:paraId="0D496177">
            <w:pPr>
              <w:pStyle w:val="4"/>
              <w:keepNext w:val="0"/>
              <w:keepLines w:val="0"/>
              <w:widowControl/>
              <w:suppressLineNumbers w:val="0"/>
              <w:ind w:left="0" w:firstLine="420"/>
              <w:jc w:val="both"/>
              <w:rPr>
                <w:highlight w:val="none"/>
              </w:rPr>
            </w:pPr>
            <w:r>
              <w:rPr>
                <w:highlight w:val="none"/>
              </w:rPr>
              <w:t>省级卫生健康行政部门发现医疗卫生机构违反本办法规定，应当要求其立即改正，停止违规开展的研究、妥善保护</w:t>
            </w:r>
            <w:r>
              <w:rPr>
                <w:rStyle w:val="7"/>
                <w:color w:val="A65BCB"/>
                <w:highlight w:val="none"/>
              </w:rPr>
              <w:t>受试者</w:t>
            </w:r>
            <w:r>
              <w:rPr>
                <w:highlight w:val="none"/>
              </w:rPr>
              <w:t>权益；发现医疗卫生机构临床研究管理体系及临床研究过程管理存在系统性、结构性问题，应当要求医疗卫生机构暂停所有临床研究，进行整改；并按照相关法律法规给予行政处罚及处分。有关监督检查情况，应当定期通报。</w:t>
            </w:r>
          </w:p>
          <w:p w14:paraId="01CF6BD0">
            <w:pPr>
              <w:pStyle w:val="4"/>
              <w:keepNext w:val="0"/>
              <w:keepLines w:val="0"/>
              <w:widowControl/>
              <w:suppressLineNumbers w:val="0"/>
              <w:ind w:left="0" w:firstLine="420"/>
              <w:jc w:val="both"/>
              <w:rPr>
                <w:highlight w:val="none"/>
              </w:rPr>
            </w:pPr>
            <w:r>
              <w:rPr>
                <w:highlight w:val="none"/>
              </w:rPr>
              <w:t>被要求停止的临床研究，由省级卫生健康行政部门在系统更新该临床研究有关行政监管信息并予以公布。</w:t>
            </w:r>
          </w:p>
        </w:tc>
        <w:tc>
          <w:tcPr>
            <w:tcW w:w="2594" w:type="pct"/>
            <w:tcBorders>
              <w:top w:val="nil"/>
              <w:left w:val="nil"/>
              <w:bottom w:val="nil"/>
              <w:right w:val="nil"/>
            </w:tcBorders>
            <w:shd w:val="clear" w:color="auto" w:fill="E1FFC8"/>
            <w:tcMar>
              <w:top w:w="0" w:type="dxa"/>
              <w:left w:w="0" w:type="dxa"/>
              <w:bottom w:w="0" w:type="dxa"/>
              <w:right w:w="0" w:type="dxa"/>
            </w:tcMar>
            <w:vAlign w:val="top"/>
          </w:tcPr>
          <w:p w14:paraId="0BA09814">
            <w:pPr>
              <w:pStyle w:val="4"/>
              <w:keepNext w:val="0"/>
              <w:keepLines w:val="0"/>
              <w:widowControl/>
              <w:suppressLineNumbers w:val="0"/>
              <w:jc w:val="both"/>
              <w:rPr>
                <w:highlight w:val="none"/>
              </w:rPr>
            </w:pPr>
            <w:r>
              <w:rPr>
                <w:rStyle w:val="7"/>
                <w:highlight w:val="none"/>
              </w:rPr>
              <w:t>第四十三条</w:t>
            </w:r>
          </w:p>
          <w:p w14:paraId="36A7C0E5">
            <w:pPr>
              <w:pStyle w:val="4"/>
              <w:keepNext w:val="0"/>
              <w:keepLines w:val="0"/>
              <w:widowControl/>
              <w:suppressLineNumbers w:val="0"/>
              <w:ind w:left="0" w:firstLine="420"/>
              <w:jc w:val="both"/>
              <w:rPr>
                <w:highlight w:val="none"/>
              </w:rPr>
            </w:pPr>
            <w:r>
              <w:rPr>
                <w:highlight w:val="none"/>
              </w:rPr>
              <w:t>省级卫生健康行政部门应当依托系统加强辖区内临床研究的监测、评估、分析，实施监督管理。跨省域开展的临床研究的监督管理，由牵头医疗卫生机构所在地省级卫生健康行政部门牵头实施，参与医疗卫生机构所在地省级卫生健康行政部门配合实施。</w:t>
            </w:r>
          </w:p>
          <w:p w14:paraId="30DC5490">
            <w:pPr>
              <w:pStyle w:val="4"/>
              <w:keepNext w:val="0"/>
              <w:keepLines w:val="0"/>
              <w:widowControl/>
              <w:suppressLineNumbers w:val="0"/>
              <w:ind w:left="0" w:firstLine="420"/>
              <w:jc w:val="both"/>
              <w:rPr>
                <w:highlight w:val="none"/>
              </w:rPr>
            </w:pPr>
            <w:r>
              <w:rPr>
                <w:highlight w:val="none"/>
              </w:rPr>
              <w:t>省级卫生健康行政部门发现医疗卫生机构违反本办法规定，应当要求其立即改正，停止违规开展的研究、妥善保护</w:t>
            </w:r>
            <w:r>
              <w:rPr>
                <w:rStyle w:val="7"/>
                <w:color w:val="FF0000"/>
                <w:highlight w:val="none"/>
              </w:rPr>
              <w:t>研究参与者</w:t>
            </w:r>
            <w:r>
              <w:rPr>
                <w:highlight w:val="none"/>
              </w:rPr>
              <w:t>权益；发现医疗卫生机构临床研究管理体系及临床研究过程管理存在系统性、结构性问题，应当要求医疗卫生机构暂停所有临床研究，进行整改；并按照相关法律法规给予行政处罚及处分。有关监督检查情况，应当定期通报。</w:t>
            </w:r>
          </w:p>
          <w:p w14:paraId="2ECD1259">
            <w:pPr>
              <w:pStyle w:val="4"/>
              <w:keepNext w:val="0"/>
              <w:keepLines w:val="0"/>
              <w:widowControl/>
              <w:suppressLineNumbers w:val="0"/>
              <w:ind w:left="0" w:firstLine="420"/>
              <w:jc w:val="both"/>
              <w:rPr>
                <w:highlight w:val="none"/>
              </w:rPr>
            </w:pPr>
            <w:r>
              <w:rPr>
                <w:highlight w:val="none"/>
              </w:rPr>
              <w:t>被要求停止的临床研究，由省级卫生健康行政部门在系统更新该临床研究有关行政监管信息并予以公布。</w:t>
            </w:r>
          </w:p>
        </w:tc>
      </w:tr>
      <w:tr w14:paraId="05F05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362" w:type="pct"/>
            <w:tcBorders>
              <w:top w:val="nil"/>
              <w:left w:val="nil"/>
              <w:bottom w:val="nil"/>
              <w:right w:val="nil"/>
            </w:tcBorders>
            <w:shd w:val="clear" w:color="auto" w:fill="FAFFC8"/>
            <w:tcMar>
              <w:top w:w="0" w:type="dxa"/>
              <w:left w:w="0" w:type="dxa"/>
              <w:bottom w:w="0" w:type="dxa"/>
              <w:right w:w="0" w:type="dxa"/>
            </w:tcMar>
            <w:vAlign w:val="top"/>
          </w:tcPr>
          <w:p w14:paraId="16D8AA61">
            <w:pPr>
              <w:pStyle w:val="4"/>
              <w:keepNext w:val="0"/>
              <w:keepLines w:val="0"/>
              <w:widowControl/>
              <w:suppressLineNumbers w:val="0"/>
              <w:jc w:val="both"/>
              <w:rPr>
                <w:highlight w:val="none"/>
              </w:rPr>
            </w:pPr>
            <w:r>
              <w:rPr>
                <w:rStyle w:val="7"/>
                <w:highlight w:val="none"/>
              </w:rPr>
              <w:t>第四十四条</w:t>
            </w:r>
          </w:p>
          <w:p w14:paraId="4DF671C0">
            <w:pPr>
              <w:pStyle w:val="4"/>
              <w:keepNext w:val="0"/>
              <w:keepLines w:val="0"/>
              <w:widowControl/>
              <w:suppressLineNumbers w:val="0"/>
              <w:ind w:left="0" w:firstLine="420"/>
              <w:jc w:val="both"/>
              <w:rPr>
                <w:highlight w:val="none"/>
              </w:rPr>
            </w:pPr>
            <w:r>
              <w:rPr>
                <w:highlight w:val="none"/>
              </w:rPr>
              <w:t>省级及以上卫生健康行政部门设立的专家委员会或其遴选的专业机构，应当依托系统对辖区内医疗卫生机构开展的临床研究进行技术核查，对科学性不强、伦理不合规、研究过程管理不规范以及违反本办法有关规定的，应当及时建议其所在医疗卫生机构</w:t>
            </w:r>
            <w:r>
              <w:rPr>
                <w:rStyle w:val="7"/>
                <w:color w:val="A65BCB"/>
                <w:highlight w:val="none"/>
              </w:rPr>
              <w:t>停止</w:t>
            </w:r>
            <w:r>
              <w:rPr>
                <w:highlight w:val="none"/>
              </w:rPr>
              <w:t>相关研究、妥善保护有关受试者的合法权益；发现医疗卫生机构临床研究技术管理体系及临床研究技术管理存在系统性、结构性问题，应当建议医疗卫生机构暂停所有临床研究，进行整改。</w:t>
            </w:r>
          </w:p>
          <w:p w14:paraId="4FC64E8F">
            <w:pPr>
              <w:pStyle w:val="4"/>
              <w:keepNext w:val="0"/>
              <w:keepLines w:val="0"/>
              <w:widowControl/>
              <w:suppressLineNumbers w:val="0"/>
              <w:ind w:left="0" w:firstLine="420"/>
              <w:jc w:val="both"/>
              <w:rPr>
                <w:highlight w:val="none"/>
              </w:rPr>
            </w:pPr>
            <w:r>
              <w:rPr>
                <w:highlight w:val="none"/>
              </w:rPr>
              <w:t>有关技术核查情况，应向有关卫生健康行政部门反馈并提出处理建议，定期向辖区医疗卫生机构通报。</w:t>
            </w:r>
          </w:p>
        </w:tc>
        <w:tc>
          <w:tcPr>
            <w:tcW w:w="2594" w:type="pct"/>
            <w:tcBorders>
              <w:top w:val="nil"/>
              <w:left w:val="nil"/>
              <w:bottom w:val="nil"/>
              <w:right w:val="nil"/>
            </w:tcBorders>
            <w:shd w:val="clear" w:color="auto" w:fill="E1FFC8"/>
            <w:tcMar>
              <w:top w:w="0" w:type="dxa"/>
              <w:left w:w="0" w:type="dxa"/>
              <w:bottom w:w="0" w:type="dxa"/>
              <w:right w:w="0" w:type="dxa"/>
            </w:tcMar>
            <w:vAlign w:val="top"/>
          </w:tcPr>
          <w:p w14:paraId="40A03469">
            <w:pPr>
              <w:pStyle w:val="4"/>
              <w:keepNext w:val="0"/>
              <w:keepLines w:val="0"/>
              <w:widowControl/>
              <w:suppressLineNumbers w:val="0"/>
              <w:jc w:val="both"/>
              <w:rPr>
                <w:highlight w:val="none"/>
              </w:rPr>
            </w:pPr>
            <w:r>
              <w:rPr>
                <w:rStyle w:val="7"/>
                <w:highlight w:val="none"/>
              </w:rPr>
              <w:t>第四十四条</w:t>
            </w:r>
          </w:p>
          <w:p w14:paraId="1F1F210B">
            <w:pPr>
              <w:pStyle w:val="4"/>
              <w:keepNext w:val="0"/>
              <w:keepLines w:val="0"/>
              <w:widowControl/>
              <w:suppressLineNumbers w:val="0"/>
              <w:ind w:left="0" w:firstLine="420"/>
              <w:jc w:val="both"/>
              <w:rPr>
                <w:highlight w:val="none"/>
              </w:rPr>
            </w:pPr>
            <w:r>
              <w:rPr>
                <w:highlight w:val="none"/>
              </w:rPr>
              <w:t>省级及以上卫生健康行政部门设立的专家委员会或其遴选的专业机构，应当依托系统对辖区内医疗卫生机构开展的临床研究进行技术核查，对科学性不强、伦理不合规、研究过程管理不规范以及违反本办法有关规定的，应当及时建议其所在医疗卫生机构</w:t>
            </w:r>
            <w:r>
              <w:rPr>
                <w:rStyle w:val="7"/>
                <w:color w:val="FF0000"/>
                <w:highlight w:val="none"/>
              </w:rPr>
              <w:t>暂停或终止</w:t>
            </w:r>
            <w:r>
              <w:rPr>
                <w:highlight w:val="none"/>
              </w:rPr>
              <w:t>相关研究、妥善保护有关受试者的合法权益；发现医疗卫生机构临床研究技术管理体系及临床研究技术管理存在系统性、结构性问题，应当建议医疗卫生机构暂停所有临床研究，进行整改。</w:t>
            </w:r>
          </w:p>
          <w:p w14:paraId="2A115F9F">
            <w:pPr>
              <w:pStyle w:val="4"/>
              <w:keepNext w:val="0"/>
              <w:keepLines w:val="0"/>
              <w:widowControl/>
              <w:suppressLineNumbers w:val="0"/>
              <w:ind w:left="0" w:firstLine="420"/>
              <w:jc w:val="both"/>
              <w:rPr>
                <w:highlight w:val="none"/>
              </w:rPr>
            </w:pPr>
            <w:r>
              <w:rPr>
                <w:highlight w:val="none"/>
              </w:rPr>
              <w:t>有关技术核查情况，应向有关卫生健康行政部门反馈并提出处理建议，定期向辖区医疗卫生机构通报。</w:t>
            </w:r>
          </w:p>
        </w:tc>
      </w:tr>
      <w:tr w14:paraId="3DD2A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362" w:type="pct"/>
            <w:tcBorders>
              <w:top w:val="nil"/>
              <w:left w:val="nil"/>
              <w:bottom w:val="nil"/>
              <w:right w:val="nil"/>
            </w:tcBorders>
            <w:shd w:val="clear" w:color="auto" w:fill="FAFFC8"/>
            <w:tcMar>
              <w:top w:w="0" w:type="dxa"/>
              <w:left w:w="0" w:type="dxa"/>
              <w:bottom w:w="0" w:type="dxa"/>
              <w:right w:w="0" w:type="dxa"/>
            </w:tcMar>
            <w:vAlign w:val="top"/>
          </w:tcPr>
          <w:p w14:paraId="065B7A28">
            <w:pPr>
              <w:pStyle w:val="4"/>
              <w:keepNext w:val="0"/>
              <w:keepLines w:val="0"/>
              <w:widowControl/>
              <w:suppressLineNumbers w:val="0"/>
              <w:jc w:val="both"/>
              <w:rPr>
                <w:highlight w:val="none"/>
              </w:rPr>
            </w:pPr>
            <w:r>
              <w:rPr>
                <w:rStyle w:val="7"/>
                <w:highlight w:val="none"/>
              </w:rPr>
              <w:t>第四十五条</w:t>
            </w:r>
          </w:p>
          <w:p w14:paraId="1B1FD2BC">
            <w:pPr>
              <w:pStyle w:val="4"/>
              <w:keepNext w:val="0"/>
              <w:keepLines w:val="0"/>
              <w:widowControl/>
              <w:suppressLineNumbers w:val="0"/>
              <w:ind w:left="0" w:firstLine="420"/>
              <w:jc w:val="both"/>
              <w:rPr>
                <w:highlight w:val="none"/>
              </w:rPr>
            </w:pPr>
            <w:r>
              <w:rPr>
                <w:highlight w:val="none"/>
              </w:rPr>
              <w:t>医疗卫生机构应当加强本机构开展临床研究情况的监督检查，发现研究者擅自开展临床研究、实质性调整研究方案未经医疗卫生机构批准或者违规收受临床研究经费等，应当按照有关规定处理。</w:t>
            </w:r>
          </w:p>
        </w:tc>
        <w:tc>
          <w:tcPr>
            <w:tcW w:w="2594" w:type="pct"/>
            <w:tcBorders>
              <w:top w:val="nil"/>
              <w:left w:val="nil"/>
              <w:bottom w:val="nil"/>
              <w:right w:val="nil"/>
            </w:tcBorders>
            <w:shd w:val="clear" w:color="auto" w:fill="E1FFC8"/>
            <w:tcMar>
              <w:top w:w="0" w:type="dxa"/>
              <w:left w:w="0" w:type="dxa"/>
              <w:bottom w:w="0" w:type="dxa"/>
              <w:right w:w="0" w:type="dxa"/>
            </w:tcMar>
            <w:vAlign w:val="top"/>
          </w:tcPr>
          <w:p w14:paraId="26FC613E">
            <w:pPr>
              <w:pStyle w:val="4"/>
              <w:keepNext w:val="0"/>
              <w:keepLines w:val="0"/>
              <w:widowControl/>
              <w:suppressLineNumbers w:val="0"/>
              <w:jc w:val="both"/>
              <w:rPr>
                <w:highlight w:val="none"/>
              </w:rPr>
            </w:pPr>
            <w:r>
              <w:rPr>
                <w:rStyle w:val="7"/>
                <w:highlight w:val="none"/>
              </w:rPr>
              <w:t>第四十五条</w:t>
            </w:r>
          </w:p>
          <w:p w14:paraId="5DFE2C29">
            <w:pPr>
              <w:pStyle w:val="4"/>
              <w:keepNext w:val="0"/>
              <w:keepLines w:val="0"/>
              <w:widowControl/>
              <w:suppressLineNumbers w:val="0"/>
              <w:ind w:left="0" w:firstLine="420"/>
              <w:jc w:val="both"/>
              <w:rPr>
                <w:highlight w:val="none"/>
              </w:rPr>
            </w:pPr>
            <w:r>
              <w:rPr>
                <w:highlight w:val="none"/>
              </w:rPr>
              <w:t>医疗卫生机构应当加强本机构开展临床研究情况的监督检查，发现研究者擅自开展临床研究、实质性调整研究方案未经医疗卫生机构批准或者违规收受临床研究经费等，应当按照有关规定处理。</w:t>
            </w:r>
          </w:p>
        </w:tc>
      </w:tr>
      <w:tr w14:paraId="4DF2C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362" w:type="pct"/>
            <w:tcBorders>
              <w:top w:val="nil"/>
              <w:left w:val="nil"/>
              <w:bottom w:val="nil"/>
              <w:right w:val="nil"/>
            </w:tcBorders>
            <w:shd w:val="clear" w:color="auto" w:fill="FAFFC8"/>
            <w:tcMar>
              <w:top w:w="0" w:type="dxa"/>
              <w:left w:w="0" w:type="dxa"/>
              <w:bottom w:w="0" w:type="dxa"/>
              <w:right w:w="0" w:type="dxa"/>
            </w:tcMar>
            <w:vAlign w:val="top"/>
          </w:tcPr>
          <w:p w14:paraId="245AD408">
            <w:pPr>
              <w:pStyle w:val="4"/>
              <w:keepNext w:val="0"/>
              <w:keepLines w:val="0"/>
              <w:widowControl/>
              <w:suppressLineNumbers w:val="0"/>
              <w:jc w:val="both"/>
              <w:rPr>
                <w:highlight w:val="none"/>
              </w:rPr>
            </w:pPr>
            <w:r>
              <w:rPr>
                <w:rStyle w:val="7"/>
                <w:highlight w:val="none"/>
              </w:rPr>
              <w:t>第四十六条</w:t>
            </w:r>
          </w:p>
          <w:p w14:paraId="6227A1A7">
            <w:pPr>
              <w:pStyle w:val="4"/>
              <w:keepNext w:val="0"/>
              <w:keepLines w:val="0"/>
              <w:widowControl/>
              <w:suppressLineNumbers w:val="0"/>
              <w:ind w:left="0" w:firstLine="420"/>
              <w:jc w:val="both"/>
              <w:rPr>
                <w:highlight w:val="none"/>
              </w:rPr>
            </w:pPr>
            <w:r>
              <w:rPr>
                <w:highlight w:val="none"/>
              </w:rPr>
              <w:t>未经医疗卫生机构批准，研究者擅自开展临床研究、调整已批准研究方案或者违规收受临床研究经费的，省级卫生健康行政部门和医疗卫生机构应当按照相关规定予以相应处理；医疗卫生机构未履行监督管理职责的，由相关卫生健康行政部门依法处理。构成犯罪的，移交司法机关依法处理。</w:t>
            </w:r>
          </w:p>
        </w:tc>
        <w:tc>
          <w:tcPr>
            <w:tcW w:w="2594" w:type="pct"/>
            <w:tcBorders>
              <w:top w:val="nil"/>
              <w:left w:val="nil"/>
              <w:bottom w:val="nil"/>
              <w:right w:val="nil"/>
            </w:tcBorders>
            <w:shd w:val="clear" w:color="auto" w:fill="E1FFC8"/>
            <w:tcMar>
              <w:top w:w="0" w:type="dxa"/>
              <w:left w:w="0" w:type="dxa"/>
              <w:bottom w:w="0" w:type="dxa"/>
              <w:right w:w="0" w:type="dxa"/>
            </w:tcMar>
            <w:vAlign w:val="top"/>
          </w:tcPr>
          <w:p w14:paraId="07626E16">
            <w:pPr>
              <w:pStyle w:val="4"/>
              <w:keepNext w:val="0"/>
              <w:keepLines w:val="0"/>
              <w:widowControl/>
              <w:suppressLineNumbers w:val="0"/>
              <w:jc w:val="both"/>
              <w:rPr>
                <w:highlight w:val="none"/>
              </w:rPr>
            </w:pPr>
            <w:r>
              <w:rPr>
                <w:rStyle w:val="7"/>
                <w:highlight w:val="none"/>
              </w:rPr>
              <w:t>第四十六条</w:t>
            </w:r>
          </w:p>
          <w:p w14:paraId="501594A9">
            <w:pPr>
              <w:pStyle w:val="4"/>
              <w:keepNext w:val="0"/>
              <w:keepLines w:val="0"/>
              <w:widowControl/>
              <w:suppressLineNumbers w:val="0"/>
              <w:ind w:left="0" w:firstLine="420"/>
              <w:jc w:val="both"/>
              <w:rPr>
                <w:highlight w:val="none"/>
              </w:rPr>
            </w:pPr>
            <w:r>
              <w:rPr>
                <w:highlight w:val="none"/>
              </w:rPr>
              <w:t>未经医疗卫生机构批准，研究者擅自开展临床研究、调整已批准研究方案或者违规收受临床研究经费的，省级卫生健康行政部门和医疗卫生机构应当按照相关规定予以相应处理；医疗卫生机构未履行监督管理职责的，由相关卫生健康行政部门依法处理。构成犯罪的，移交司法机关依法处理。</w:t>
            </w:r>
          </w:p>
        </w:tc>
      </w:tr>
      <w:tr w14:paraId="13C96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362" w:type="pct"/>
            <w:tcBorders>
              <w:top w:val="nil"/>
              <w:left w:val="nil"/>
              <w:bottom w:val="nil"/>
              <w:right w:val="nil"/>
            </w:tcBorders>
            <w:shd w:val="clear" w:color="auto" w:fill="FAFFC8"/>
            <w:tcMar>
              <w:top w:w="0" w:type="dxa"/>
              <w:left w:w="0" w:type="dxa"/>
              <w:bottom w:w="0" w:type="dxa"/>
              <w:right w:w="0" w:type="dxa"/>
            </w:tcMar>
            <w:vAlign w:val="top"/>
          </w:tcPr>
          <w:p w14:paraId="41F9EE4C">
            <w:pPr>
              <w:pStyle w:val="4"/>
              <w:keepNext w:val="0"/>
              <w:keepLines w:val="0"/>
              <w:widowControl/>
              <w:suppressLineNumbers w:val="0"/>
              <w:rPr>
                <w:highlight w:val="none"/>
              </w:rPr>
            </w:pPr>
            <w:r>
              <w:rPr>
                <w:rStyle w:val="7"/>
                <w:highlight w:val="none"/>
              </w:rPr>
              <w:t>第八章  附 则</w:t>
            </w:r>
          </w:p>
        </w:tc>
        <w:tc>
          <w:tcPr>
            <w:tcW w:w="2594" w:type="pct"/>
            <w:tcBorders>
              <w:top w:val="nil"/>
              <w:left w:val="nil"/>
              <w:bottom w:val="nil"/>
              <w:right w:val="nil"/>
            </w:tcBorders>
            <w:shd w:val="clear" w:color="auto" w:fill="E1FFC8"/>
            <w:tcMar>
              <w:top w:w="0" w:type="dxa"/>
              <w:left w:w="0" w:type="dxa"/>
              <w:bottom w:w="0" w:type="dxa"/>
              <w:right w:w="0" w:type="dxa"/>
            </w:tcMar>
            <w:vAlign w:val="top"/>
          </w:tcPr>
          <w:p w14:paraId="7C922D97">
            <w:pPr>
              <w:pStyle w:val="4"/>
              <w:keepNext w:val="0"/>
              <w:keepLines w:val="0"/>
              <w:widowControl/>
              <w:suppressLineNumbers w:val="0"/>
              <w:rPr>
                <w:highlight w:val="none"/>
              </w:rPr>
            </w:pPr>
            <w:r>
              <w:rPr>
                <w:rStyle w:val="7"/>
                <w:highlight w:val="none"/>
              </w:rPr>
              <w:t>第八章  附 则</w:t>
            </w:r>
          </w:p>
        </w:tc>
      </w:tr>
      <w:tr w14:paraId="5C219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362" w:type="pct"/>
            <w:tcBorders>
              <w:top w:val="nil"/>
              <w:left w:val="nil"/>
              <w:bottom w:val="nil"/>
              <w:right w:val="nil"/>
            </w:tcBorders>
            <w:shd w:val="clear" w:color="auto" w:fill="FAFFC8"/>
            <w:tcMar>
              <w:top w:w="0" w:type="dxa"/>
              <w:left w:w="0" w:type="dxa"/>
              <w:bottom w:w="0" w:type="dxa"/>
              <w:right w:w="0" w:type="dxa"/>
            </w:tcMar>
            <w:vAlign w:val="top"/>
          </w:tcPr>
          <w:p w14:paraId="01977154">
            <w:pPr>
              <w:pStyle w:val="4"/>
              <w:keepNext w:val="0"/>
              <w:keepLines w:val="0"/>
              <w:widowControl/>
              <w:suppressLineNumbers w:val="0"/>
              <w:jc w:val="both"/>
              <w:rPr>
                <w:highlight w:val="none"/>
              </w:rPr>
            </w:pPr>
            <w:r>
              <w:rPr>
                <w:rStyle w:val="7"/>
                <w:highlight w:val="none"/>
              </w:rPr>
              <w:t>第四十七条</w:t>
            </w:r>
          </w:p>
          <w:p w14:paraId="73803D7F">
            <w:pPr>
              <w:pStyle w:val="4"/>
              <w:keepNext w:val="0"/>
              <w:keepLines w:val="0"/>
              <w:widowControl/>
              <w:suppressLineNumbers w:val="0"/>
              <w:ind w:left="0" w:firstLine="420"/>
              <w:jc w:val="both"/>
              <w:rPr>
                <w:highlight w:val="none"/>
              </w:rPr>
            </w:pPr>
            <w:r>
              <w:rPr>
                <w:highlight w:val="none"/>
              </w:rPr>
              <w:t>干细胞临床研究按照《干细胞临床研究管理办法（试行）》管理，</w:t>
            </w:r>
            <w:r>
              <w:rPr>
                <w:rStyle w:val="7"/>
                <w:color w:val="A65BCB"/>
                <w:highlight w:val="none"/>
              </w:rPr>
              <w:t>非产品研制的</w:t>
            </w:r>
            <w:r>
              <w:rPr>
                <w:highlight w:val="none"/>
              </w:rPr>
              <w:t>体细胞临床研究参照《干细胞临床研究管理办法（试行）》管理。</w:t>
            </w:r>
          </w:p>
        </w:tc>
        <w:tc>
          <w:tcPr>
            <w:tcW w:w="2594" w:type="pct"/>
            <w:tcBorders>
              <w:top w:val="nil"/>
              <w:left w:val="nil"/>
              <w:bottom w:val="nil"/>
              <w:right w:val="nil"/>
            </w:tcBorders>
            <w:shd w:val="clear" w:color="auto" w:fill="E1FFC8"/>
            <w:tcMar>
              <w:top w:w="0" w:type="dxa"/>
              <w:left w:w="0" w:type="dxa"/>
              <w:bottom w:w="0" w:type="dxa"/>
              <w:right w:w="0" w:type="dxa"/>
            </w:tcMar>
            <w:vAlign w:val="top"/>
          </w:tcPr>
          <w:p w14:paraId="209B509A">
            <w:pPr>
              <w:pStyle w:val="4"/>
              <w:keepNext w:val="0"/>
              <w:keepLines w:val="0"/>
              <w:widowControl/>
              <w:suppressLineNumbers w:val="0"/>
              <w:jc w:val="both"/>
              <w:rPr>
                <w:highlight w:val="none"/>
              </w:rPr>
            </w:pPr>
            <w:r>
              <w:rPr>
                <w:rStyle w:val="7"/>
                <w:highlight w:val="none"/>
              </w:rPr>
              <w:t>第四十七条</w:t>
            </w:r>
          </w:p>
          <w:p w14:paraId="1DA73ECC">
            <w:pPr>
              <w:pStyle w:val="4"/>
              <w:keepNext w:val="0"/>
              <w:keepLines w:val="0"/>
              <w:widowControl/>
              <w:suppressLineNumbers w:val="0"/>
              <w:ind w:left="0" w:firstLine="420"/>
              <w:jc w:val="both"/>
              <w:rPr>
                <w:highlight w:val="none"/>
              </w:rPr>
            </w:pPr>
            <w:r>
              <w:rPr>
                <w:highlight w:val="none"/>
              </w:rPr>
              <w:t>干细胞</w:t>
            </w:r>
            <w:r>
              <w:rPr>
                <w:highlight w:val="none"/>
              </w:rPr>
              <w:t>临床研究按照《干细胞临床研究管理办法（试行）》管理。</w:t>
            </w:r>
            <w:r>
              <w:rPr>
                <w:rStyle w:val="7"/>
                <w:color w:val="FF0000"/>
                <w:highlight w:val="none"/>
              </w:rPr>
              <w:t>研究者发起的</w:t>
            </w:r>
            <w:r>
              <w:rPr>
                <w:highlight w:val="none"/>
              </w:rPr>
              <w:t>体细胞临床研究等参照《干细胞临床研究管理办法（试行）》管理。</w:t>
            </w:r>
          </w:p>
        </w:tc>
      </w:tr>
      <w:tr w14:paraId="4C5D1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362" w:type="pct"/>
            <w:tcBorders>
              <w:top w:val="nil"/>
              <w:left w:val="nil"/>
              <w:bottom w:val="nil"/>
              <w:right w:val="nil"/>
            </w:tcBorders>
            <w:shd w:val="clear" w:color="auto" w:fill="FAFFC8"/>
            <w:tcMar>
              <w:top w:w="0" w:type="dxa"/>
              <w:left w:w="0" w:type="dxa"/>
              <w:bottom w:w="0" w:type="dxa"/>
              <w:right w:w="0" w:type="dxa"/>
            </w:tcMar>
            <w:vAlign w:val="top"/>
          </w:tcPr>
          <w:p w14:paraId="08FA6C34">
            <w:pPr>
              <w:pStyle w:val="4"/>
              <w:keepNext w:val="0"/>
              <w:keepLines w:val="0"/>
              <w:widowControl/>
              <w:suppressLineNumbers w:val="0"/>
              <w:jc w:val="both"/>
              <w:rPr>
                <w:highlight w:val="none"/>
              </w:rPr>
            </w:pPr>
            <w:r>
              <w:rPr>
                <w:rStyle w:val="7"/>
                <w:highlight w:val="none"/>
              </w:rPr>
              <w:t>第四十八条</w:t>
            </w:r>
          </w:p>
          <w:p w14:paraId="2E94EC89">
            <w:pPr>
              <w:pStyle w:val="4"/>
              <w:keepNext w:val="0"/>
              <w:keepLines w:val="0"/>
              <w:widowControl/>
              <w:suppressLineNumbers w:val="0"/>
              <w:ind w:left="0" w:firstLine="420"/>
              <w:jc w:val="both"/>
              <w:rPr>
                <w:highlight w:val="none"/>
              </w:rPr>
            </w:pPr>
            <w:r>
              <w:rPr>
                <w:rStyle w:val="7"/>
                <w:color w:val="A65BCB"/>
                <w:highlight w:val="none"/>
              </w:rPr>
              <w:t>中医临床研究不纳入试点。</w:t>
            </w:r>
          </w:p>
        </w:tc>
        <w:tc>
          <w:tcPr>
            <w:tcW w:w="2594" w:type="pct"/>
            <w:tcBorders>
              <w:top w:val="nil"/>
              <w:left w:val="nil"/>
              <w:bottom w:val="nil"/>
              <w:right w:val="nil"/>
            </w:tcBorders>
            <w:shd w:val="clear" w:color="auto" w:fill="E1FFC8"/>
            <w:tcMar>
              <w:top w:w="0" w:type="dxa"/>
              <w:left w:w="0" w:type="dxa"/>
              <w:bottom w:w="0" w:type="dxa"/>
              <w:right w:w="0" w:type="dxa"/>
            </w:tcMar>
            <w:vAlign w:val="top"/>
          </w:tcPr>
          <w:p w14:paraId="7A15385B">
            <w:pPr>
              <w:pStyle w:val="4"/>
              <w:keepNext w:val="0"/>
              <w:keepLines w:val="0"/>
              <w:widowControl/>
              <w:suppressLineNumbers w:val="0"/>
              <w:jc w:val="both"/>
              <w:rPr>
                <w:highlight w:val="none"/>
              </w:rPr>
            </w:pPr>
            <w:r>
              <w:rPr>
                <w:rStyle w:val="7"/>
                <w:highlight w:val="none"/>
              </w:rPr>
              <w:t>第四十八条</w:t>
            </w:r>
          </w:p>
          <w:p w14:paraId="5E17F38A">
            <w:pPr>
              <w:pStyle w:val="4"/>
              <w:keepNext w:val="0"/>
              <w:keepLines w:val="0"/>
              <w:widowControl/>
              <w:suppressLineNumbers w:val="0"/>
              <w:ind w:left="0" w:firstLine="420"/>
              <w:jc w:val="both"/>
              <w:rPr>
                <w:highlight w:val="none"/>
              </w:rPr>
            </w:pPr>
            <w:r>
              <w:rPr>
                <w:rStyle w:val="7"/>
                <w:color w:val="FF0000"/>
                <w:highlight w:val="none"/>
              </w:rPr>
              <w:t>中医</w:t>
            </w:r>
            <w:r>
              <w:rPr>
                <w:rStyle w:val="7"/>
                <w:color w:val="FF0000"/>
                <w:highlight w:val="none"/>
              </w:rPr>
              <w:t>临床研究的管理办法由国家中医药管理局另行制定。</w:t>
            </w:r>
          </w:p>
        </w:tc>
      </w:tr>
      <w:tr w14:paraId="6E7C4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362" w:type="pct"/>
            <w:tcBorders>
              <w:top w:val="nil"/>
              <w:left w:val="nil"/>
              <w:bottom w:val="nil"/>
              <w:right w:val="nil"/>
            </w:tcBorders>
            <w:shd w:val="clear" w:color="auto" w:fill="FAFFC8"/>
            <w:tcMar>
              <w:top w:w="0" w:type="dxa"/>
              <w:left w:w="0" w:type="dxa"/>
              <w:bottom w:w="0" w:type="dxa"/>
              <w:right w:w="0" w:type="dxa"/>
            </w:tcMar>
            <w:vAlign w:val="top"/>
          </w:tcPr>
          <w:p w14:paraId="2229ABED">
            <w:pPr>
              <w:pStyle w:val="4"/>
              <w:keepNext w:val="0"/>
              <w:keepLines w:val="0"/>
              <w:widowControl/>
              <w:suppressLineNumbers w:val="0"/>
              <w:jc w:val="both"/>
              <w:rPr>
                <w:highlight w:val="none"/>
              </w:rPr>
            </w:pPr>
            <w:r>
              <w:rPr>
                <w:rStyle w:val="7"/>
                <w:highlight w:val="none"/>
              </w:rPr>
              <w:t>第四十九条</w:t>
            </w:r>
          </w:p>
          <w:p w14:paraId="4D46F14C">
            <w:pPr>
              <w:pStyle w:val="4"/>
              <w:keepNext w:val="0"/>
              <w:keepLines w:val="0"/>
              <w:widowControl/>
              <w:suppressLineNumbers w:val="0"/>
              <w:ind w:left="0" w:firstLine="420"/>
              <w:jc w:val="both"/>
              <w:rPr>
                <w:highlight w:val="none"/>
              </w:rPr>
            </w:pPr>
            <w:r>
              <w:rPr>
                <w:highlight w:val="none"/>
              </w:rPr>
              <w:t>本办法自</w:t>
            </w:r>
            <w:r>
              <w:rPr>
                <w:rStyle w:val="7"/>
                <w:color w:val="A65BCB"/>
                <w:highlight w:val="none"/>
              </w:rPr>
              <w:t>2021年10月1日起试行</w:t>
            </w:r>
            <w:r>
              <w:rPr>
                <w:highlight w:val="none"/>
              </w:rPr>
              <w:t>，此前有关规范性文件的要求与本办法不一致的，在试行期间，以本办法为准。</w:t>
            </w:r>
          </w:p>
        </w:tc>
        <w:tc>
          <w:tcPr>
            <w:tcW w:w="2594" w:type="pct"/>
            <w:tcBorders>
              <w:top w:val="nil"/>
              <w:left w:val="nil"/>
              <w:bottom w:val="nil"/>
              <w:right w:val="nil"/>
            </w:tcBorders>
            <w:shd w:val="clear" w:color="auto" w:fill="E1FFC8"/>
            <w:tcMar>
              <w:top w:w="0" w:type="dxa"/>
              <w:left w:w="0" w:type="dxa"/>
              <w:bottom w:w="0" w:type="dxa"/>
              <w:right w:w="0" w:type="dxa"/>
            </w:tcMar>
            <w:vAlign w:val="top"/>
          </w:tcPr>
          <w:p w14:paraId="0386254E">
            <w:pPr>
              <w:pStyle w:val="4"/>
              <w:keepNext w:val="0"/>
              <w:keepLines w:val="0"/>
              <w:widowControl/>
              <w:suppressLineNumbers w:val="0"/>
              <w:jc w:val="both"/>
              <w:rPr>
                <w:highlight w:val="none"/>
              </w:rPr>
            </w:pPr>
            <w:r>
              <w:rPr>
                <w:rStyle w:val="7"/>
                <w:highlight w:val="none"/>
              </w:rPr>
              <w:t>第四十九条</w:t>
            </w:r>
          </w:p>
          <w:p w14:paraId="2111F099">
            <w:pPr>
              <w:pStyle w:val="4"/>
              <w:keepNext w:val="0"/>
              <w:keepLines w:val="0"/>
              <w:widowControl/>
              <w:suppressLineNumbers w:val="0"/>
              <w:ind w:left="0" w:firstLine="420"/>
              <w:jc w:val="both"/>
              <w:rPr>
                <w:highlight w:val="none"/>
              </w:rPr>
            </w:pPr>
            <w:r>
              <w:rPr>
                <w:highlight w:val="none"/>
              </w:rPr>
              <w:t>本办法自</w:t>
            </w:r>
            <w:r>
              <w:rPr>
                <w:rStyle w:val="7"/>
                <w:color w:val="FF0000"/>
                <w:highlight w:val="none"/>
              </w:rPr>
              <w:t>2024年10月1日起施行</w:t>
            </w:r>
            <w:r>
              <w:rPr>
                <w:highlight w:val="none"/>
              </w:rPr>
              <w:t>，此前发布的有关规定，与本办法不一致的，以本办法为准。</w:t>
            </w:r>
          </w:p>
        </w:tc>
      </w:tr>
    </w:tbl>
    <w:p w14:paraId="636F3BC1">
      <w:pPr>
        <w:rPr>
          <w:highlight w:val="none"/>
        </w:rPr>
      </w:pPr>
    </w:p>
    <w:bookmarkEnd w:id="0"/>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crosoft YaHei UI">
    <w:altName w:val="宋体"/>
    <w:panose1 w:val="020B0503020204020204"/>
    <w:charset w:val="86"/>
    <w:family w:val="auto"/>
    <w:pitch w:val="default"/>
    <w:sig w:usb0="00000000" w:usb1="00000000" w:usb2="00000016" w:usb3="00000000" w:csb0="0004001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hZGI2ZTNlMzYyNTY5YmQ2OGU0NmRlMzAzYmM4NzEifQ=="/>
  </w:docVars>
  <w:rsids>
    <w:rsidRoot w:val="5C7035F2"/>
    <w:rsid w:val="039F6124"/>
    <w:rsid w:val="086858B5"/>
    <w:rsid w:val="09497E1A"/>
    <w:rsid w:val="0D486525"/>
    <w:rsid w:val="0E323572"/>
    <w:rsid w:val="0E5E4367"/>
    <w:rsid w:val="0E5E6115"/>
    <w:rsid w:val="0F4A12D6"/>
    <w:rsid w:val="10914580"/>
    <w:rsid w:val="110F72E0"/>
    <w:rsid w:val="125E4936"/>
    <w:rsid w:val="13A9398F"/>
    <w:rsid w:val="16E55626"/>
    <w:rsid w:val="1869193F"/>
    <w:rsid w:val="19AF5A77"/>
    <w:rsid w:val="1AF95B35"/>
    <w:rsid w:val="1D1F2F14"/>
    <w:rsid w:val="1F170346"/>
    <w:rsid w:val="1FC17898"/>
    <w:rsid w:val="1FFE32B4"/>
    <w:rsid w:val="25210921"/>
    <w:rsid w:val="27DF39CB"/>
    <w:rsid w:val="29752839"/>
    <w:rsid w:val="2A5F2835"/>
    <w:rsid w:val="2B1B5263"/>
    <w:rsid w:val="2BC43604"/>
    <w:rsid w:val="2BD1187D"/>
    <w:rsid w:val="2F6401D2"/>
    <w:rsid w:val="340A09C8"/>
    <w:rsid w:val="35A136FA"/>
    <w:rsid w:val="3CC72F54"/>
    <w:rsid w:val="3D2608AE"/>
    <w:rsid w:val="45FB0783"/>
    <w:rsid w:val="4BA30626"/>
    <w:rsid w:val="4C4179C2"/>
    <w:rsid w:val="4CB8383A"/>
    <w:rsid w:val="4D665E71"/>
    <w:rsid w:val="4DAB1A24"/>
    <w:rsid w:val="50740CF9"/>
    <w:rsid w:val="53873CD1"/>
    <w:rsid w:val="552D196B"/>
    <w:rsid w:val="564927D4"/>
    <w:rsid w:val="568D0913"/>
    <w:rsid w:val="5A90452E"/>
    <w:rsid w:val="5C7035F2"/>
    <w:rsid w:val="6A03031D"/>
    <w:rsid w:val="6D8E6FF3"/>
    <w:rsid w:val="6E041063"/>
    <w:rsid w:val="75FF0362"/>
    <w:rsid w:val="7A941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6974</Words>
  <Characters>7094</Characters>
  <Lines>0</Lines>
  <Paragraphs>0</Paragraphs>
  <TotalTime>318</TotalTime>
  <ScaleCrop>false</ScaleCrop>
  <LinksUpToDate>false</LinksUpToDate>
  <CharactersWithSpaces>7097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2024-10-28T03:45:00Z</dcterms:created>
  <dc:creator>水红</dc:creator>
  <cp:lastModifiedBy>棋</cp:lastModifiedBy>
  <dcterms:modified xsi:type="dcterms:W3CDTF">2025-04-27T03:21:06Z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6961F09F1E93449186E2AAAD6CAF281D_11</vt:lpwstr>
  </property>
  <property fmtid="{D5CDD505-2E9C-101B-9397-08002B2CF9AE}" pid="4" name="KSOTemplateDocerSaveRecord">
    <vt:lpwstr>eyJoZGlkIjoiYzZjYTMxOWYzY2YyNWE4MDFjZGFkYTBkMTRmMTllNDEiLCJ1c2VySWQiOiIyNDQ5ODAzNTUifQ==</vt:lpwstr>
  </property>
</Properties>
</file>